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F95" w14:textId="77777777" w:rsidR="00F23803" w:rsidRDefault="00F23803" w:rsidP="00F23803">
      <w:pPr>
        <w:pStyle w:val="Caption"/>
        <w:rPr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F366C" wp14:editId="327261F3">
            <wp:simplePos x="0" y="0"/>
            <wp:positionH relativeFrom="column">
              <wp:posOffset>7608875</wp:posOffset>
            </wp:positionH>
            <wp:positionV relativeFrom="paragraph">
              <wp:posOffset>585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1C10C0">
        <w:rPr>
          <w:caps/>
          <w:sz w:val="36"/>
          <w:szCs w:val="36"/>
        </w:rPr>
        <w:t>Risk Assessment Template</w:t>
      </w:r>
    </w:p>
    <w:p w14:paraId="05240056" w14:textId="77777777" w:rsidR="00F23803" w:rsidRDefault="00F23803" w:rsidP="00F23803"/>
    <w:p w14:paraId="512DA87A" w14:textId="77777777" w:rsidR="00F23803" w:rsidRDefault="00F23803" w:rsidP="00F23803">
      <w:pPr>
        <w:ind w:left="567"/>
      </w:pPr>
    </w:p>
    <w:p w14:paraId="5D5DC36E" w14:textId="0FFEAFBC" w:rsidR="00F23803" w:rsidRDefault="00F23803" w:rsidP="00F23803">
      <w:pPr>
        <w:pStyle w:val="Caption"/>
        <w:ind w:left="567"/>
        <w:jc w:val="left"/>
      </w:pPr>
      <w:r>
        <w:t>Risk Matrix and Rating Guidance:</w:t>
      </w:r>
    </w:p>
    <w:p w14:paraId="711F2D3F" w14:textId="77777777" w:rsidR="00F23803" w:rsidRDefault="00F23803" w:rsidP="00F23803">
      <w:pPr>
        <w:pStyle w:val="BodyTextIndent"/>
        <w:ind w:left="567" w:firstLine="0"/>
        <w:jc w:val="left"/>
      </w:pPr>
      <w:r>
        <w:t xml:space="preserve">The assessor shall assign values for the hazard severity </w:t>
      </w:r>
      <w:r>
        <w:rPr>
          <w:b/>
        </w:rPr>
        <w:t>(a)</w:t>
      </w:r>
      <w:r>
        <w:t xml:space="preserve"> and likelihood of occurrence </w:t>
      </w:r>
      <w:r>
        <w:rPr>
          <w:b/>
        </w:rPr>
        <w:t>(b)</w:t>
      </w:r>
      <w:r>
        <w:t xml:space="preserve"> (taking into account the frequency and duration of exposure) on a scale of 1 to 5, then multiply them together to give the rating band:</w:t>
      </w:r>
    </w:p>
    <w:p w14:paraId="5417C55E" w14:textId="77777777" w:rsidR="00F23803" w:rsidRDefault="00F23803" w:rsidP="00F23803">
      <w:pPr>
        <w:pStyle w:val="BodyTextIndent"/>
        <w:ind w:left="1276" w:firstLine="0"/>
        <w:jc w:val="left"/>
      </w:pPr>
    </w:p>
    <w:p w14:paraId="2EFB8E2D" w14:textId="77777777" w:rsidR="00F23803" w:rsidRDefault="00F23803" w:rsidP="00F23803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244"/>
      </w:tblGrid>
      <w:tr w:rsidR="00F23803" w14:paraId="2EDA8C3B" w14:textId="77777777" w:rsidTr="00A9403B">
        <w:trPr>
          <w:cantSplit/>
          <w:trHeight w:val="433"/>
          <w:jc w:val="center"/>
        </w:trPr>
        <w:tc>
          <w:tcPr>
            <w:tcW w:w="8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8A24D3" w14:textId="77777777" w:rsidR="00F23803" w:rsidRPr="00F23803" w:rsidRDefault="00F23803" w:rsidP="00A9403B">
            <w:pPr>
              <w:pStyle w:val="Heading3"/>
              <w:rPr>
                <w:rFonts w:ascii="Arial" w:hAnsi="Arial" w:cs="Arial"/>
                <w:sz w:val="32"/>
                <w:szCs w:val="32"/>
              </w:rPr>
            </w:pPr>
            <w:r w:rsidRPr="00F23803">
              <w:rPr>
                <w:rFonts w:ascii="Arial" w:hAnsi="Arial" w:cs="Arial"/>
                <w:sz w:val="32"/>
                <w:szCs w:val="32"/>
              </w:rPr>
              <w:t>Hazard Severity (a)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B36946" w14:textId="77777777" w:rsidR="00F23803" w:rsidRPr="00F23803" w:rsidRDefault="00F23803" w:rsidP="00A9403B">
            <w:pPr>
              <w:pStyle w:val="Heading4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F23803">
              <w:rPr>
                <w:rFonts w:ascii="Arial" w:hAnsi="Arial" w:cs="Arial"/>
                <w:sz w:val="32"/>
                <w:szCs w:val="32"/>
              </w:rPr>
              <w:t>Likelihood of Occurrence (b)</w:t>
            </w:r>
          </w:p>
        </w:tc>
      </w:tr>
      <w:tr w:rsidR="00F23803" w14:paraId="58E54C23" w14:textId="77777777" w:rsidTr="00F23803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7932" w14:textId="77777777" w:rsidR="00F23803" w:rsidRDefault="00F23803" w:rsidP="00A9403B">
            <w:pPr>
              <w:rPr>
                <w:b/>
                <w:bCs/>
                <w:color w:val="000000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2AC3" w14:textId="77777777" w:rsidR="00F23803" w:rsidRDefault="00F23803" w:rsidP="00A9403B">
            <w:pPr>
              <w:rPr>
                <w:color w:val="000000"/>
                <w:sz w:val="28"/>
                <w:szCs w:val="22"/>
              </w:rPr>
            </w:pPr>
          </w:p>
        </w:tc>
      </w:tr>
      <w:tr w:rsidR="00F23803" w14:paraId="7E6B2C4E" w14:textId="77777777" w:rsidTr="00A9403B">
        <w:trPr>
          <w:cantSplit/>
          <w:trHeight w:val="1112"/>
          <w:jc w:val="center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7A0" w14:textId="77777777" w:rsidR="00F23803" w:rsidRDefault="00F23803" w:rsidP="00A9403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(e.g. discomfort, slight bruising, self-help recovery)</w:t>
            </w:r>
          </w:p>
          <w:p w14:paraId="69DF57F4" w14:textId="77777777" w:rsidR="00F23803" w:rsidRDefault="00F23803" w:rsidP="00A9403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(e.g. small cut, abrasion, basic first aid need)</w:t>
            </w:r>
          </w:p>
          <w:p w14:paraId="383E1BF5" w14:textId="77777777" w:rsidR="00F23803" w:rsidRDefault="00F23803" w:rsidP="00A9403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(e.g. strain, sprain, incapacitation &gt; 3 days)</w:t>
            </w:r>
          </w:p>
          <w:p w14:paraId="41C36A8F" w14:textId="77777777" w:rsidR="00F23803" w:rsidRDefault="00F23803" w:rsidP="00A9403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(e.g. fracture, hospitalisation &gt;24 hrs, incapacitation &gt;4 weeks)</w:t>
            </w:r>
          </w:p>
          <w:p w14:paraId="00DBC0A7" w14:textId="77777777" w:rsidR="00F23803" w:rsidRDefault="00F23803" w:rsidP="00A9403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6BD6" w14:textId="77777777" w:rsidR="00F23803" w:rsidRDefault="00F23803" w:rsidP="00A9403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3887A7D1" w14:textId="77777777" w:rsidR="00F23803" w:rsidRDefault="00F23803" w:rsidP="00A9403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473DCF4F" w14:textId="77777777" w:rsidR="00F23803" w:rsidRDefault="00F23803" w:rsidP="00A9403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2946EBB5" w14:textId="77777777" w:rsidR="00F23803" w:rsidRDefault="00F23803" w:rsidP="00A9403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14:paraId="20CD48B6" w14:textId="77777777" w:rsidR="00F23803" w:rsidRDefault="00F23803" w:rsidP="00A9403B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517C4BA8" w14:textId="77777777" w:rsidR="00F23803" w:rsidRDefault="00F23803" w:rsidP="00F23803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F23803" w14:paraId="6E114DBF" w14:textId="77777777" w:rsidTr="00A9403B">
        <w:trPr>
          <w:jc w:val="center"/>
        </w:trPr>
        <w:tc>
          <w:tcPr>
            <w:tcW w:w="6648" w:type="dxa"/>
          </w:tcPr>
          <w:p w14:paraId="51707B52" w14:textId="77777777" w:rsidR="00F23803" w:rsidRDefault="00F23803" w:rsidP="00F23803">
            <w:pPr>
              <w:pStyle w:val="BodyTextIndent2"/>
              <w:ind w:right="507" w:firstLine="0"/>
              <w:jc w:val="left"/>
            </w:pPr>
          </w:p>
        </w:tc>
        <w:tc>
          <w:tcPr>
            <w:tcW w:w="7087" w:type="dxa"/>
          </w:tcPr>
          <w:p w14:paraId="6337C870" w14:textId="77777777" w:rsidR="00F23803" w:rsidRDefault="00F23803" w:rsidP="00F23803">
            <w:pPr>
              <w:pStyle w:val="BodyTextIndent2"/>
              <w:ind w:right="507" w:firstLine="0"/>
              <w:jc w:val="left"/>
            </w:pPr>
          </w:p>
        </w:tc>
      </w:tr>
    </w:tbl>
    <w:p w14:paraId="28E08928" w14:textId="77777777" w:rsidR="00F23803" w:rsidRDefault="00F23803" w:rsidP="00F23803">
      <w:pPr>
        <w:rPr>
          <w:sz w:val="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970"/>
        <w:gridCol w:w="953"/>
        <w:gridCol w:w="1283"/>
        <w:gridCol w:w="1117"/>
        <w:gridCol w:w="828"/>
        <w:gridCol w:w="554"/>
        <w:gridCol w:w="1773"/>
        <w:gridCol w:w="2152"/>
        <w:gridCol w:w="2508"/>
      </w:tblGrid>
      <w:tr w:rsidR="00F23803" w14:paraId="1154A52B" w14:textId="77777777" w:rsidTr="00F23803"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8FA853E" w14:textId="77777777" w:rsidR="00F23803" w:rsidRDefault="00F23803" w:rsidP="00A9403B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80D3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9190EAC" w14:textId="77777777" w:rsidR="00F23803" w:rsidRDefault="00F23803" w:rsidP="00A9403B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 w:val="28"/>
              </w:rPr>
              <w:t>Risk Rating Bands  (</w:t>
            </w:r>
            <w:r>
              <w:rPr>
                <w:b/>
                <w:color w:val="FF00FF"/>
                <w:sz w:val="28"/>
              </w:rPr>
              <w:t>A</w:t>
            </w:r>
            <w:r>
              <w:rPr>
                <w:b/>
                <w:sz w:val="28"/>
              </w:rPr>
              <w:t xml:space="preserve"> x </w:t>
            </w:r>
            <w:r>
              <w:rPr>
                <w:b/>
                <w:color w:val="FF00FF"/>
                <w:sz w:val="28"/>
              </w:rPr>
              <w:t>B</w:t>
            </w:r>
            <w:r>
              <w:rPr>
                <w:b/>
                <w:sz w:val="28"/>
              </w:rPr>
              <w:t>)</w:t>
            </w:r>
          </w:p>
        </w:tc>
      </w:tr>
      <w:tr w:rsidR="00F23803" w14:paraId="44E1A5DF" w14:textId="77777777" w:rsidTr="00F23803"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1D70" w14:textId="77777777" w:rsidR="00F23803" w:rsidRDefault="00F23803" w:rsidP="00A9403B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(</w:t>
            </w:r>
            <w:r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>
              <w:rPr>
                <w:b/>
                <w:noProof/>
                <w:sz w:val="24"/>
                <w:lang w:eastAsia="en-GB"/>
              </w:rPr>
              <w:t>)</w:t>
            </w:r>
            <w:r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Ü</w:t>
            </w:r>
            <w:r>
              <w:rPr>
                <w:b/>
                <w:noProof/>
                <w:sz w:val="24"/>
                <w:lang w:eastAsia="en-GB"/>
              </w:rPr>
              <w:t xml:space="preserve">       (</w:t>
            </w:r>
            <w:r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>
              <w:rPr>
                <w:b/>
                <w:noProof/>
                <w:sz w:val="24"/>
                <w:lang w:eastAsia="en-GB"/>
              </w:rPr>
              <w:t>)</w:t>
            </w:r>
            <w:r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DE34214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Trivial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26AE4CA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9D7E609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Moderate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AA0BA24" w14:textId="77777777" w:rsidR="00F23803" w:rsidRDefault="00F23803" w:rsidP="00A9403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Serious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311CCDF" w14:textId="77777777" w:rsidR="00F23803" w:rsidRDefault="00F23803" w:rsidP="00A9403B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Fatal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CED6007" w14:textId="77777777" w:rsidR="00F23803" w:rsidRDefault="00F23803" w:rsidP="00A9403B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E49" w14:textId="77777777" w:rsidR="00F23803" w:rsidRDefault="00F23803" w:rsidP="00A94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 RISK</w:t>
            </w:r>
          </w:p>
          <w:p w14:paraId="3455FD3E" w14:textId="77777777" w:rsidR="00F23803" w:rsidRDefault="00F23803" w:rsidP="00A94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– 8)</w:t>
            </w:r>
          </w:p>
        </w:tc>
        <w:tc>
          <w:tcPr>
            <w:tcW w:w="21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FDC7" w14:textId="77777777" w:rsidR="00F23803" w:rsidRDefault="00F23803" w:rsidP="00A9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MEDIUM RISK</w:t>
            </w:r>
          </w:p>
          <w:p w14:paraId="0F74955C" w14:textId="77777777" w:rsidR="00F23803" w:rsidRDefault="00F23803" w:rsidP="00A9403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692AAA4" w14:textId="77777777" w:rsidR="00F23803" w:rsidRDefault="00F23803" w:rsidP="00A94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HIGH RISK</w:t>
            </w:r>
          </w:p>
          <w:p w14:paraId="43A8FC3E" w14:textId="77777777" w:rsidR="00F23803" w:rsidRDefault="00F23803" w:rsidP="00A9403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F23803" w14:paraId="4223F270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A54391" w14:textId="77777777" w:rsidR="00F23803" w:rsidRDefault="00F23803" w:rsidP="00A9403B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21DC634" w14:textId="77777777" w:rsidR="00F23803" w:rsidRDefault="00F23803" w:rsidP="00A9403B">
            <w:pPr>
              <w:spacing w:before="60" w:after="6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B497907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B4EDF6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419F047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  <w:hideMark/>
          </w:tcPr>
          <w:p w14:paraId="32239BA6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B171090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EE3354F" w14:textId="77777777" w:rsidR="00F23803" w:rsidRDefault="00F23803" w:rsidP="00A9403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80FF1A" w14:textId="77777777" w:rsidR="00F23803" w:rsidRDefault="00F23803" w:rsidP="00A9403B">
            <w:pPr>
              <w:jc w:val="center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68C75565" w14:textId="77777777" w:rsidR="00F23803" w:rsidRDefault="00F23803" w:rsidP="00A9403B">
            <w:pPr>
              <w:jc w:val="center"/>
              <w:rPr>
                <w:b/>
                <w:bCs/>
              </w:rPr>
            </w:pPr>
          </w:p>
        </w:tc>
      </w:tr>
      <w:tr w:rsidR="00F23803" w14:paraId="7C8AA8D7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81877FE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DC04C26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53637D4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089AAD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122D6CE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  <w:hideMark/>
          </w:tcPr>
          <w:p w14:paraId="609795B2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256A70E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1539250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shd w:val="clear" w:color="auto" w:fill="00FF00"/>
              </w:rPr>
              <w:t>Continue</w:t>
            </w:r>
            <w:r>
              <w:rPr>
                <w:color w:val="000000"/>
                <w:szCs w:val="22"/>
              </w:rPr>
              <w:t xml:space="preserve">, </w:t>
            </w:r>
          </w:p>
          <w:p w14:paraId="3E20D2D1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C4467E8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shd w:val="clear" w:color="auto" w:fill="FFC000"/>
              </w:rPr>
              <w:t>Continue</w:t>
            </w:r>
            <w:r>
              <w:rPr>
                <w:color w:val="000000"/>
                <w:szCs w:val="22"/>
              </w:rPr>
              <w:t xml:space="preserve">, </w:t>
            </w:r>
          </w:p>
          <w:p w14:paraId="3752E9CD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E031FF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6DEAB2EA" w14:textId="77777777" w:rsidR="00F23803" w:rsidRDefault="00F23803" w:rsidP="00A940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5FDEAC73" w14:textId="77777777" w:rsidR="00F23803" w:rsidRDefault="00F23803" w:rsidP="00A9403B">
            <w:pPr>
              <w:jc w:val="center"/>
              <w:rPr>
                <w:b/>
                <w:bCs/>
                <w:color w:val="000000"/>
              </w:rPr>
            </w:pPr>
            <w:r>
              <w:t>Identify new controls. Activity must not proceed until risks are reduced to a low or medium level</w:t>
            </w:r>
          </w:p>
        </w:tc>
      </w:tr>
      <w:tr w:rsidR="00F23803" w14:paraId="55E717A5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E7C43FA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Possible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048C209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248A29E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7936EF2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E143B51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09346081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966F2AE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D78D16E" w14:textId="77777777" w:rsidR="00F23803" w:rsidRDefault="00F23803" w:rsidP="00A9403B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F074918" w14:textId="77777777" w:rsidR="00F23803" w:rsidRDefault="00F23803" w:rsidP="00A9403B">
            <w:pPr>
              <w:rPr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8BF948" w14:textId="77777777" w:rsidR="00F23803" w:rsidRDefault="00F23803" w:rsidP="00A9403B">
            <w:pPr>
              <w:rPr>
                <w:b/>
                <w:bCs/>
                <w:color w:val="000000"/>
              </w:rPr>
            </w:pPr>
          </w:p>
        </w:tc>
      </w:tr>
      <w:tr w:rsidR="00F23803" w14:paraId="12E63580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D8302A4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608FE0F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074CEE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D1F2B3D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FCAA8C3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5CB9265E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601C2B5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977C6F" w14:textId="77777777" w:rsidR="00F23803" w:rsidRDefault="00F23803" w:rsidP="00A9403B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A8D90A1" w14:textId="77777777" w:rsidR="00F23803" w:rsidRDefault="00F23803" w:rsidP="00A9403B">
            <w:pPr>
              <w:rPr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3F25651" w14:textId="77777777" w:rsidR="00F23803" w:rsidRDefault="00F23803" w:rsidP="00A9403B">
            <w:pPr>
              <w:rPr>
                <w:b/>
                <w:bCs/>
                <w:color w:val="000000"/>
              </w:rPr>
            </w:pPr>
          </w:p>
        </w:tc>
      </w:tr>
      <w:tr w:rsidR="00F23803" w14:paraId="4C167AC0" w14:textId="77777777" w:rsidTr="00F23803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49F1B56" w14:textId="77777777" w:rsidR="00F23803" w:rsidRDefault="00F23803" w:rsidP="00A9403B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Very 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6E86FB0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E116451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C4245CE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7CA32A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098C45FF" w14:textId="77777777" w:rsidR="00F23803" w:rsidRDefault="00F23803" w:rsidP="00A9403B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56602E7" w14:textId="77777777" w:rsidR="00F23803" w:rsidRDefault="00F23803" w:rsidP="00A9403B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8A4BC3" w14:textId="77777777" w:rsidR="00F23803" w:rsidRDefault="00F23803" w:rsidP="00A9403B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5892445" w14:textId="77777777" w:rsidR="00F23803" w:rsidRDefault="00F23803" w:rsidP="00A9403B">
            <w:pPr>
              <w:rPr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16042" w14:textId="77777777" w:rsidR="00F23803" w:rsidRDefault="00F23803" w:rsidP="00A9403B">
            <w:pPr>
              <w:rPr>
                <w:b/>
                <w:bCs/>
                <w:color w:val="000000"/>
              </w:rPr>
            </w:pPr>
          </w:p>
        </w:tc>
      </w:tr>
    </w:tbl>
    <w:p w14:paraId="156FE920" w14:textId="77777777" w:rsidR="00F23803" w:rsidRDefault="00F23803" w:rsidP="00F23803"/>
    <w:tbl>
      <w:tblPr>
        <w:tblW w:w="1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3751"/>
        <w:gridCol w:w="3465"/>
      </w:tblGrid>
      <w:tr w:rsidR="00F23803" w14:paraId="644D46BE" w14:textId="77777777" w:rsidTr="00F23803">
        <w:trPr>
          <w:cantSplit/>
          <w:trHeight w:val="467"/>
        </w:trPr>
        <w:tc>
          <w:tcPr>
            <w:tcW w:w="1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9F9C9" w14:textId="31173D65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40"/>
                <w:u w:val="none"/>
              </w:rPr>
              <w:t>Risk Assessment Record</w:t>
            </w:r>
          </w:p>
          <w:p w14:paraId="74E084A3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F23803" w14:paraId="672177B6" w14:textId="77777777" w:rsidTr="00F23803">
        <w:trPr>
          <w:cantSplit/>
          <w:trHeight w:val="564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5A9" w14:textId="734DF4CC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Risk Assessment Title: </w:t>
            </w:r>
            <w:r w:rsidR="00C23209">
              <w:rPr>
                <w:rFonts w:ascii="Arial" w:hAnsi="Arial" w:cs="Arial"/>
                <w:color w:val="000000" w:themeColor="text1"/>
                <w:sz w:val="22"/>
                <w:u w:val="none"/>
              </w:rPr>
              <w:t>Association Football</w:t>
            </w:r>
            <w:r w:rsidR="0034077B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and Futsal RA</w:t>
            </w:r>
          </w:p>
          <w:p w14:paraId="236EA7AF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C6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Date Produced: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30 July 2020</w:t>
            </w:r>
          </w:p>
          <w:p w14:paraId="5C33B4E4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5BD" w14:textId="4A5CACF2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Review Date:</w:t>
            </w:r>
            <w:r w:rsidRPr="005C3BFD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 xml:space="preserve"> </w:t>
            </w:r>
            <w:r w:rsidR="006813CC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0</w:t>
            </w:r>
            <w:r w:rsidR="00B01468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2</w:t>
            </w:r>
            <w:r w:rsidR="006813CC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/10/2021 by Charlotte Greenlees (Chair)</w:t>
            </w:r>
          </w:p>
          <w:p w14:paraId="56AA879D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F23803" w14:paraId="48496CE0" w14:textId="77777777" w:rsidTr="00F23803">
        <w:trPr>
          <w:cantSplit/>
          <w:trHeight w:val="696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D9E" w14:textId="21AF8219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Overview/Description of Activity: </w:t>
            </w:r>
            <w:r w:rsidR="006D392F">
              <w:rPr>
                <w:rFonts w:ascii="Arial" w:hAnsi="Arial" w:cs="Arial"/>
                <w:color w:val="000000" w:themeColor="text1"/>
                <w:sz w:val="22"/>
                <w:u w:val="none"/>
              </w:rPr>
              <w:t>BUCS, Inter-halls, IDFC, 6-a-side, Futsal</w:t>
            </w:r>
          </w:p>
          <w:p w14:paraId="674BFA79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703" w14:textId="14D326A6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  <w:r w:rsidR="0034077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BUCS: Training 3x per week and 1x match, Inter-Halls/IDFC: Training 1x per week (astro) and 1x match, 6-a-side/Rec Futsal: 1x match per week</w:t>
            </w:r>
          </w:p>
        </w:tc>
      </w:tr>
      <w:tr w:rsidR="00F23803" w14:paraId="274A705C" w14:textId="77777777" w:rsidTr="00F23803">
        <w:trPr>
          <w:cantSplit/>
          <w:trHeight w:val="726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E99" w14:textId="331ADBAE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  <w:r w:rsidR="0034077B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St John’s pitches, 3G Training Strip, Limekiln, SULIS, Eastwood pitches, Astro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98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Generic or Specific Assessment: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Generic – to be tailored by owner and read in conjunction with existing task risk assessments</w:t>
            </w:r>
          </w:p>
          <w:p w14:paraId="43A4E0A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  <w:tr w:rsidR="00F23803" w14:paraId="67E59784" w14:textId="77777777" w:rsidTr="00F23803">
        <w:trPr>
          <w:cantSplit/>
          <w:trHeight w:val="726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EBA3C" w14:textId="77777777" w:rsidR="00F23803" w:rsidRPr="00055EE7" w:rsidRDefault="00F23803" w:rsidP="00F23803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In the absence of other advice,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students </w:t>
            </w: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of the University should follow </w:t>
            </w:r>
            <w:hyperlink r:id="rId11" w:history="1">
              <w:r w:rsidRPr="00055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</w:t>
              </w:r>
            </w:hyperlink>
          </w:p>
          <w:p w14:paraId="2AE680BD" w14:textId="36AB6990" w:rsidR="00F23803" w:rsidRDefault="00F23803" w:rsidP="00F23803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which is based upon expert input from Public Health England and the Department of Health</w:t>
            </w:r>
          </w:p>
        </w:tc>
      </w:tr>
      <w:tr w:rsidR="00F23803" w14:paraId="041A5396" w14:textId="77777777" w:rsidTr="00F23803">
        <w:trPr>
          <w:cantSplit/>
          <w:trHeight w:val="726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02895" w14:textId="77777777" w:rsidR="00F23803" w:rsidRDefault="00F23803" w:rsidP="00F23803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OVID</w:t>
            </w:r>
            <w:r w:rsidRPr="00055E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19 is a </w:t>
            </w:r>
            <w:r w:rsidRPr="00055EE7">
              <w:rPr>
                <w:rFonts w:asciiTheme="minorHAnsi" w:hAnsiTheme="minorHAnsi" w:cstheme="minorHAnsi"/>
                <w:sz w:val="22"/>
                <w:szCs w:val="22"/>
                <w:u w:val="none"/>
              </w:rPr>
              <w:t>new illness that can affect your lungs and airways. It is caused by a virus called Coronavirus. Symptoms can be mild, moderate, severe or fatal. For the purposes of our overarching assessment we have assessed that the foreseeable severity as being “serious”</w:t>
            </w:r>
            <w:r w:rsidR="00FC7DDC">
              <w:rPr>
                <w:rFonts w:asciiTheme="minorHAnsi" w:hAnsiTheme="minorHAnsi" w:cstheme="minorHAnsi"/>
                <w:sz w:val="22"/>
                <w:szCs w:val="22"/>
                <w:u w:val="none"/>
              </w:rPr>
              <w:t>.</w:t>
            </w:r>
          </w:p>
          <w:p w14:paraId="09000EEF" w14:textId="77777777" w:rsidR="00FC7DDC" w:rsidRDefault="00FC7DDC" w:rsidP="00F23803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Members of the club will follow the University and DSDR Covid guidance.</w:t>
            </w:r>
          </w:p>
          <w:p w14:paraId="60BE6AF6" w14:textId="4BDF9095" w:rsidR="00FC7DDC" w:rsidRPr="00055EE7" w:rsidRDefault="00FC7DDC" w:rsidP="00F23803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Members of the club will adhere to any facility capacity restriction for the facilities being used.</w:t>
            </w:r>
          </w:p>
        </w:tc>
      </w:tr>
    </w:tbl>
    <w:p w14:paraId="263F1810" w14:textId="7C5A0AB4" w:rsidR="00F23803" w:rsidRDefault="00F23803" w:rsidP="00F23803"/>
    <w:p w14:paraId="2559A8B5" w14:textId="7BA9F168" w:rsidR="00F23803" w:rsidRDefault="00F23803" w:rsidP="00F23803"/>
    <w:p w14:paraId="1E221718" w14:textId="6B0021B3" w:rsidR="00066B96" w:rsidRDefault="00066B96" w:rsidP="00A9403B">
      <w:r w:rsidRPr="00066B96">
        <w:rPr>
          <w:b/>
          <w:bCs/>
          <w:sz w:val="42"/>
          <w:szCs w:val="42"/>
        </w:rPr>
        <w:t>Index</w:t>
      </w:r>
      <w:r>
        <w:br/>
      </w:r>
    </w:p>
    <w:p w14:paraId="419F11D3" w14:textId="7C12E9E1" w:rsidR="00F23803" w:rsidRPr="00066B96" w:rsidRDefault="00EE6590" w:rsidP="00066B96">
      <w:pPr>
        <w:rPr>
          <w:sz w:val="28"/>
          <w:szCs w:val="28"/>
        </w:rPr>
      </w:pPr>
      <w:hyperlink w:anchor="A" w:history="1">
        <w:r w:rsidR="00066B96" w:rsidRPr="00066B96">
          <w:rPr>
            <w:rStyle w:val="Hyperlink"/>
            <w:sz w:val="28"/>
            <w:szCs w:val="28"/>
          </w:rPr>
          <w:t>Section 1: General COVID 19 Guidelines</w:t>
        </w:r>
      </w:hyperlink>
    </w:p>
    <w:p w14:paraId="4FBAE71C" w14:textId="1A76A1DB" w:rsidR="00066B96" w:rsidRPr="00066B96" w:rsidRDefault="00EE6590" w:rsidP="00066B96">
      <w:pPr>
        <w:rPr>
          <w:sz w:val="28"/>
          <w:szCs w:val="28"/>
        </w:rPr>
      </w:pPr>
      <w:hyperlink w:anchor="B" w:history="1">
        <w:r w:rsidR="00066B96" w:rsidRPr="00066B96">
          <w:rPr>
            <w:rStyle w:val="Hyperlink"/>
            <w:sz w:val="28"/>
            <w:szCs w:val="28"/>
          </w:rPr>
          <w:t>Section 2: Socials</w:t>
        </w:r>
      </w:hyperlink>
    </w:p>
    <w:p w14:paraId="3B52FC97" w14:textId="3FA35CD1" w:rsidR="00066B96" w:rsidRPr="00066B96" w:rsidRDefault="00EE6590" w:rsidP="00066B96">
      <w:pPr>
        <w:rPr>
          <w:sz w:val="28"/>
          <w:szCs w:val="28"/>
        </w:rPr>
      </w:pPr>
      <w:hyperlink w:anchor="C" w:history="1">
        <w:r w:rsidR="00066B96" w:rsidRPr="00066B96">
          <w:rPr>
            <w:rStyle w:val="Hyperlink"/>
            <w:sz w:val="28"/>
            <w:szCs w:val="28"/>
          </w:rPr>
          <w:t>Section 3: Travel</w:t>
        </w:r>
      </w:hyperlink>
      <w:r w:rsidR="00066B96" w:rsidRPr="00066B96">
        <w:rPr>
          <w:sz w:val="28"/>
          <w:szCs w:val="28"/>
        </w:rPr>
        <w:t xml:space="preserve"> </w:t>
      </w:r>
    </w:p>
    <w:p w14:paraId="64772FE2" w14:textId="1611A4EA" w:rsidR="00066B96" w:rsidRPr="00066B96" w:rsidRDefault="00EE6590" w:rsidP="00066B96">
      <w:pPr>
        <w:rPr>
          <w:sz w:val="28"/>
          <w:szCs w:val="28"/>
        </w:rPr>
      </w:pPr>
      <w:hyperlink w:anchor="D" w:history="1">
        <w:r w:rsidR="00066B96" w:rsidRPr="00066B96">
          <w:rPr>
            <w:rStyle w:val="Hyperlink"/>
            <w:sz w:val="28"/>
            <w:szCs w:val="28"/>
          </w:rPr>
          <w:t>Section 4: Performances</w:t>
        </w:r>
      </w:hyperlink>
      <w:r w:rsidR="00066B96" w:rsidRPr="00066B96">
        <w:rPr>
          <w:sz w:val="28"/>
          <w:szCs w:val="28"/>
        </w:rPr>
        <w:br/>
      </w:r>
      <w:hyperlink w:anchor="E" w:history="1">
        <w:r w:rsidR="00066B96" w:rsidRPr="00066B96">
          <w:rPr>
            <w:rStyle w:val="Hyperlink"/>
            <w:sz w:val="28"/>
            <w:szCs w:val="28"/>
          </w:rPr>
          <w:t>Section 5: Equipment</w:t>
        </w:r>
      </w:hyperlink>
    </w:p>
    <w:p w14:paraId="679D2EAA" w14:textId="28BE61BE" w:rsidR="00066B96" w:rsidRPr="00066B96" w:rsidRDefault="00EE6590" w:rsidP="00066B96">
      <w:pPr>
        <w:rPr>
          <w:sz w:val="28"/>
          <w:szCs w:val="28"/>
        </w:rPr>
      </w:pPr>
      <w:hyperlink w:anchor="F" w:history="1">
        <w:r w:rsidR="00066B96" w:rsidRPr="3BEE4B80">
          <w:rPr>
            <w:rStyle w:val="Hyperlink"/>
            <w:sz w:val="28"/>
            <w:szCs w:val="28"/>
          </w:rPr>
          <w:t>Section 6: Sports</w:t>
        </w:r>
      </w:hyperlink>
    </w:p>
    <w:p w14:paraId="3C85E739" w14:textId="7BFD9AD0" w:rsidR="34EE528C" w:rsidRDefault="34EE528C" w:rsidP="3BEE4B80">
      <w:pPr>
        <w:rPr>
          <w:rStyle w:val="Hyperlink"/>
          <w:sz w:val="28"/>
          <w:szCs w:val="28"/>
        </w:rPr>
      </w:pPr>
      <w:r w:rsidRPr="3BEE4B80">
        <w:rPr>
          <w:rStyle w:val="Hyperlink"/>
          <w:sz w:val="28"/>
          <w:szCs w:val="28"/>
        </w:rPr>
        <w:t>Section 7: Financial Risk</w:t>
      </w:r>
    </w:p>
    <w:p w14:paraId="4D4981E9" w14:textId="25E09F33" w:rsidR="170A6DCE" w:rsidRDefault="170A6DCE" w:rsidP="170A6DCE">
      <w:pPr>
        <w:rPr>
          <w:rStyle w:val="Hyperlink"/>
          <w:sz w:val="28"/>
          <w:szCs w:val="28"/>
        </w:rPr>
      </w:pPr>
    </w:p>
    <w:p w14:paraId="39A81783" w14:textId="009ADFE0" w:rsidR="00F23803" w:rsidRDefault="00F23803" w:rsidP="00F23803"/>
    <w:p w14:paraId="3205715C" w14:textId="4FA33260" w:rsidR="170A6DCE" w:rsidRDefault="170A6DCE" w:rsidP="170A6DCE"/>
    <w:p w14:paraId="19ADCCCC" w14:textId="219CDAE0" w:rsidR="170A6DCE" w:rsidRDefault="170A6DCE" w:rsidP="170A6DCE"/>
    <w:p w14:paraId="508B3B56" w14:textId="08703D78" w:rsidR="00F23803" w:rsidRDefault="00F23803" w:rsidP="00F23803"/>
    <w:p w14:paraId="54F2E0C3" w14:textId="04A56D37" w:rsidR="00F23803" w:rsidRDefault="00F23803" w:rsidP="00F23803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14"/>
        <w:gridCol w:w="2354"/>
        <w:gridCol w:w="1740"/>
        <w:gridCol w:w="1183"/>
        <w:gridCol w:w="1170"/>
        <w:gridCol w:w="1242"/>
        <w:gridCol w:w="4743"/>
      </w:tblGrid>
      <w:tr w:rsidR="003F2FE1" w14:paraId="2FC8F54E" w14:textId="77777777" w:rsidTr="00E21E27">
        <w:trPr>
          <w:cantSplit/>
          <w:trHeight w:val="577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8AF10E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4E9EB9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2BE39F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 affected</w:t>
            </w:r>
            <w:r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C7F806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82A692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3CEA58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F7161D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Risk Rating </w:t>
            </w:r>
            <w:r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18142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 required</w:t>
            </w:r>
          </w:p>
        </w:tc>
      </w:tr>
      <w:tr w:rsidR="00F23803" w14:paraId="698EE370" w14:textId="77777777" w:rsidTr="741E1BC3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2E7D6F" w14:textId="73962978" w:rsidR="00F23803" w:rsidRDefault="00F23803" w:rsidP="00F2380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0" w:name="A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SECTION 1: </w:t>
            </w:r>
            <w:r w:rsidRPr="00F2380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General COVID 19 guidelines</w:t>
            </w:r>
            <w:bookmarkEnd w:id="0"/>
          </w:p>
        </w:tc>
      </w:tr>
      <w:tr w:rsidR="002E3F01" w14:paraId="779769D3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A93" w14:textId="7A90268E" w:rsidR="00F23803" w:rsidRPr="004943CA" w:rsidRDefault="00194C01" w:rsidP="00F4674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1</w:t>
            </w:r>
            <w:r w:rsidR="79E3A479" w:rsidRPr="004943CA">
              <w:rPr>
                <w:highlight w:val="yellow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5EF" w14:textId="0D621694" w:rsidR="00F23803" w:rsidRPr="00194C01" w:rsidRDefault="79E3A479" w:rsidP="00F46746">
            <w:pPr>
              <w:rPr>
                <w:color w:val="000000" w:themeColor="text1"/>
                <w:szCs w:val="22"/>
              </w:rPr>
            </w:pPr>
            <w:r w:rsidRPr="00194C01">
              <w:t>Person to person transmission of COVID-19 (on campus) COVID19 Symptoms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E8B" w14:textId="24CDB965" w:rsidR="00F23803" w:rsidRPr="00194C01" w:rsidRDefault="00BA0097" w:rsidP="00F46746">
            <w:r w:rsidRPr="00194C01">
              <w:t xml:space="preserve">Players and coaches may be affected if they come into contact with a person who is positive for COVID19.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0CF" w14:textId="6E07CFBF" w:rsidR="75E4BA7F" w:rsidRPr="00194C01" w:rsidRDefault="75E4BA7F" w:rsidP="4E81C634">
            <w:pPr>
              <w:ind w:left="360"/>
              <w:rPr>
                <w:rFonts w:eastAsia="Arial"/>
                <w:sz w:val="20"/>
                <w:szCs w:val="20"/>
              </w:rPr>
            </w:pPr>
          </w:p>
          <w:p w14:paraId="25E818FE" w14:textId="1024FD75" w:rsidR="00BA0097" w:rsidRPr="00194C01" w:rsidRDefault="00BA0097" w:rsidP="00F46746">
            <w:r w:rsidRPr="00194C01">
              <w:t xml:space="preserve">If anyone, or anyone in a player/coaches household displays symptoms of COVID19, they must isolate in line with government guidance and must not come to training session or matches. </w:t>
            </w:r>
            <w:r w:rsidR="00194C01" w:rsidRPr="00194C01">
              <w:t xml:space="preserve">Collecting personal details is no longer required as part of NHS Test and Trace.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D3F" w14:textId="23C3B58E" w:rsidR="00F23803" w:rsidRPr="00194C01" w:rsidRDefault="51323C98" w:rsidP="00A9403B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94C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D7" w14:textId="6FBF0B15" w:rsidR="00F23803" w:rsidRPr="00194C01" w:rsidRDefault="51323C98" w:rsidP="00A9403B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94C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C6F" w14:textId="47B806F5" w:rsidR="00F23803" w:rsidRPr="00194C01" w:rsidRDefault="51323C98" w:rsidP="00A9403B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94C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F734" w14:textId="646AB1FF" w:rsidR="00F23803" w:rsidRPr="00194C01" w:rsidRDefault="39D229EA" w:rsidP="23E72E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>Leader to contact participants before the event to notify them of what is expected of them</w:t>
            </w:r>
            <w:r w:rsidR="00194C01">
              <w:rPr>
                <w:rFonts w:ascii="Arial" w:eastAsia="Arial" w:hAnsi="Arial" w:cs="Arial"/>
                <w:sz w:val="20"/>
                <w:szCs w:val="20"/>
                <w:highlight w:val="yellow"/>
              </w:rPr>
              <w:t>.</w:t>
            </w:r>
          </w:p>
          <w:p w14:paraId="6C3B66FD" w14:textId="277FF306" w:rsidR="00194C01" w:rsidRPr="00194C01" w:rsidRDefault="00194C01" w:rsidP="23E72E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194C01">
              <w:rPr>
                <w:rFonts w:ascii="Arial" w:eastAsia="Arial" w:hAnsi="Arial" w:cs="Arial"/>
                <w:sz w:val="20"/>
                <w:szCs w:val="20"/>
                <w:highlight w:val="yellow"/>
              </w:rPr>
              <w:t>Individuals who are double-jabbed or under-18 no longer need to self-isolate after being identified as a close contact of a positive Covid-19 case, even if that person is within the same household. However, they are strongly advised to get their own free PCR test as soon as possible. If individuals conduct a PCR test and it comes back positive, they must follow the Government guidance on isolation irrespective of vaccination status.</w:t>
            </w:r>
          </w:p>
          <w:p w14:paraId="729AF58F" w14:textId="3079E293" w:rsidR="00194C01" w:rsidRPr="00194C01" w:rsidRDefault="00194C01" w:rsidP="23E72E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194C01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Collecting details as a part of NHS Test and Trace is no longer required, however, QR codes will be displayed for members who wish to check in using the Test and Trace app.</w:t>
            </w:r>
          </w:p>
          <w:p w14:paraId="7472EA67" w14:textId="2A9D0C2C" w:rsidR="00F23803" w:rsidRPr="004943CA" w:rsidRDefault="00F23803" w:rsidP="4E81C63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</w:p>
        </w:tc>
      </w:tr>
      <w:tr w:rsidR="002E3F01" w14:paraId="58EA7146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FF6" w14:textId="1EAD1399" w:rsidR="00F23803" w:rsidRDefault="588B4568" w:rsidP="00F46746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108" w14:textId="7E20C544" w:rsidR="00F23803" w:rsidRPr="00194C01" w:rsidRDefault="588B4568" w:rsidP="00F46746">
            <w:pPr>
              <w:rPr>
                <w:color w:val="000000" w:themeColor="text1"/>
                <w:szCs w:val="22"/>
              </w:rPr>
            </w:pPr>
            <w:r w:rsidRPr="00194C01">
              <w:t>Cleanliness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6061" w14:textId="45751143" w:rsidR="00F23803" w:rsidRPr="00194C01" w:rsidRDefault="00BA0097" w:rsidP="00F46746">
            <w:r w:rsidRPr="00194C01">
              <w:t>Cleanliness decreases the risk of contamination and infection.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868" w14:textId="252F3832" w:rsidR="00CA0BD0" w:rsidRPr="00194C01" w:rsidRDefault="00BA0097" w:rsidP="00BA0097">
            <w:r w:rsidRPr="00194C01">
              <w:t>Cleaning equipment will be used to wipe down equipment such as balls and cones.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F56" w14:textId="4E925665" w:rsidR="00F23803" w:rsidRPr="00194C01" w:rsidRDefault="5103916E" w:rsidP="00A9403B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94C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31C" w14:textId="3AAC6133" w:rsidR="00F23803" w:rsidRPr="00194C01" w:rsidRDefault="5103916E" w:rsidP="00A9403B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94C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688" w14:textId="02F134D8" w:rsidR="00F23803" w:rsidRPr="00194C01" w:rsidRDefault="5103916E" w:rsidP="00A9403B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94C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D3A" w14:textId="77777777" w:rsidR="00F23803" w:rsidRPr="004943CA" w:rsidRDefault="6CA082B9" w:rsidP="4E81C63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>Keep surfaces clear to make it easier to clean and reduce the likelihood of contaminating objects.</w:t>
            </w:r>
          </w:p>
          <w:p w14:paraId="15FF1FEE" w14:textId="025199F3" w:rsidR="00F23803" w:rsidRPr="004943CA" w:rsidRDefault="6CA082B9" w:rsidP="741E1BC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>Participants to bring their own face masks</w:t>
            </w:r>
            <w:r w:rsidR="6A42D36E"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, to be used in accordance with </w:t>
            </w:r>
            <w:hyperlink r:id="rId12">
              <w:r w:rsidR="6A42D36E" w:rsidRPr="004943CA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</w:rPr>
                <w:t>university policy on mask wearing</w:t>
              </w:r>
            </w:hyperlink>
          </w:p>
          <w:p w14:paraId="24C5ED5C" w14:textId="7D937F82" w:rsidR="00F23803" w:rsidRPr="004943CA" w:rsidRDefault="6CA082B9" w:rsidP="4E81C63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>Where possible, Leader to contact participants before the event to notify them of what is expected of them</w:t>
            </w:r>
          </w:p>
          <w:p w14:paraId="7190BE89" w14:textId="3B18F294" w:rsidR="00F23803" w:rsidRPr="004943CA" w:rsidRDefault="00F23803" w:rsidP="4E81C63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</w:p>
        </w:tc>
      </w:tr>
      <w:tr w:rsidR="00CA0BD0" w14:paraId="39DD8B2D" w14:textId="77777777" w:rsidTr="741E1BC3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59540A3" w14:textId="556F5280" w:rsidR="00CA0BD0" w:rsidRDefault="00CA0BD0" w:rsidP="00CA0BD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1" w:name="B"/>
            <w:r w:rsidRPr="270EA50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SECTION 2: Socials</w:t>
            </w:r>
            <w:bookmarkEnd w:id="1"/>
          </w:p>
        </w:tc>
      </w:tr>
      <w:tr w:rsidR="002E3F01" w14:paraId="6B2FF58D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150" w14:textId="3B127A46" w:rsidR="002E3F01" w:rsidRPr="00194C01" w:rsidRDefault="7E300E1E" w:rsidP="00F46746">
            <w:pPr>
              <w:rPr>
                <w:color w:val="000000" w:themeColor="text1"/>
                <w:sz w:val="20"/>
                <w:szCs w:val="20"/>
              </w:rPr>
            </w:pPr>
            <w:r w:rsidRPr="00194C01">
              <w:t>4.</w:t>
            </w:r>
          </w:p>
          <w:p w14:paraId="5201CE8C" w14:textId="3496CB42" w:rsidR="002E3F01" w:rsidRPr="00194C01" w:rsidRDefault="002E3F01" w:rsidP="00F46746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4F7" w14:textId="5DDED8CA" w:rsidR="002E3F01" w:rsidRPr="00194C01" w:rsidRDefault="7E300E1E" w:rsidP="00F46746">
            <w:pPr>
              <w:rPr>
                <w:color w:val="000000" w:themeColor="text1"/>
                <w:szCs w:val="22"/>
              </w:rPr>
            </w:pPr>
            <w:r w:rsidRPr="00194C01">
              <w:t xml:space="preserve">Authorisation from the SU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34FB" w14:textId="30BA00D4" w:rsidR="002E3F01" w:rsidRPr="00194C01" w:rsidRDefault="00E21E27" w:rsidP="00F46746">
            <w:r w:rsidRPr="00194C01">
              <w:t>Players or members social events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6571" w14:textId="59763F31" w:rsidR="002E3F01" w:rsidRPr="00194C01" w:rsidRDefault="00E21E27" w:rsidP="00E21E27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All socials to take place will occur within the current government guidance, whatever that may be at the time.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4E0" w14:textId="0FB4A966" w:rsidR="002E3F01" w:rsidRPr="00194C01" w:rsidRDefault="2A8EC675" w:rsidP="00F46746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F162" w14:textId="48C67081" w:rsidR="002E3F01" w:rsidRPr="00194C01" w:rsidRDefault="2A8EC675" w:rsidP="00F46746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3EE8" w14:textId="1111AB8F" w:rsidR="002E3F01" w:rsidRPr="00194C01" w:rsidRDefault="2A8EC675" w:rsidP="00F46746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81E4" w14:textId="59671A35" w:rsidR="002E3F01" w:rsidRPr="00194C01" w:rsidRDefault="5F881417" w:rsidP="396F72A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94C01">
              <w:rPr>
                <w:rFonts w:ascii="Arial" w:eastAsia="Arial" w:hAnsi="Arial" w:cs="Arial"/>
                <w:sz w:val="20"/>
                <w:szCs w:val="20"/>
              </w:rPr>
              <w:t xml:space="preserve">All Socials virtual/in person are still required to go through the </w:t>
            </w:r>
            <w:hyperlink r:id="rId13">
              <w:r w:rsidRPr="00194C0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Event Planner</w:t>
              </w:r>
            </w:hyperlink>
            <w:r w:rsidRPr="00194C01">
              <w:rPr>
                <w:rFonts w:ascii="Arial" w:eastAsia="Arial" w:hAnsi="Arial" w:cs="Arial"/>
                <w:sz w:val="20"/>
                <w:szCs w:val="20"/>
              </w:rPr>
              <w:t xml:space="preserve"> for approval from an SU staff member</w:t>
            </w:r>
          </w:p>
          <w:p w14:paraId="1AC3F8E4" w14:textId="5123C062" w:rsidR="002E3F01" w:rsidRPr="00194C01" w:rsidRDefault="76FA5689" w:rsidP="741E1BC3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94C01">
              <w:rPr>
                <w:rFonts w:ascii="Arial" w:eastAsia="Arial" w:hAnsi="Arial" w:cs="Arial"/>
                <w:sz w:val="20"/>
                <w:szCs w:val="20"/>
              </w:rPr>
              <w:t>Any incidents/concerns regarding COVID-19 policies not being followed should be reported immediately to the SU, who will take action as appropriate</w:t>
            </w:r>
          </w:p>
        </w:tc>
      </w:tr>
      <w:tr w:rsidR="00E21E27" w14:paraId="6DFA7F02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EA6" w14:textId="0E1668F9" w:rsidR="00E21E27" w:rsidRPr="00194C01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 w:rsidRPr="00194C01">
              <w:lastRenderedPageBreak/>
              <w:t>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DB" w14:textId="4C7AF4E6" w:rsidR="00E21E27" w:rsidRPr="00194C01" w:rsidRDefault="00E21E27" w:rsidP="00E21E27">
            <w:pPr>
              <w:rPr>
                <w:color w:val="000000" w:themeColor="text1"/>
                <w:szCs w:val="22"/>
              </w:rPr>
            </w:pPr>
            <w:r w:rsidRPr="00194C01">
              <w:t>Social gatherings in public spaces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A07" w14:textId="6ABE8FA4" w:rsidR="00E21E27" w:rsidRPr="00194C01" w:rsidRDefault="00E21E27" w:rsidP="00E21E27">
            <w:r w:rsidRPr="00194C01">
              <w:t>Player’s or member’s social events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3CA1" w14:textId="7DBD2649" w:rsidR="00E21E27" w:rsidRPr="00194C01" w:rsidRDefault="00E21E27" w:rsidP="00E21E27">
            <w:pPr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All socials to take place will occur within the current government guidance, whatever that may be at the time.</w:t>
            </w:r>
            <w:r w:rsidR="00194C01">
              <w:rPr>
                <w:rFonts w:eastAsia="Arial"/>
                <w:sz w:val="20"/>
                <w:szCs w:val="20"/>
              </w:rPr>
              <w:t xml:space="preserve"> At the time of writing, there are no limits on how many people can meet.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8FDA" w14:textId="246FD322" w:rsidR="00E21E27" w:rsidRPr="00194C01" w:rsidRDefault="00E21E27" w:rsidP="00E21E27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436" w14:textId="3980DCF7" w:rsidR="00E21E27" w:rsidRPr="00194C01" w:rsidRDefault="00E21E27" w:rsidP="00E21E27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252" w14:textId="48B3127D" w:rsidR="00E21E27" w:rsidRPr="00194C01" w:rsidRDefault="00E21E27" w:rsidP="00E21E27">
            <w:pPr>
              <w:rPr>
                <w:rFonts w:eastAsia="Arial"/>
                <w:sz w:val="20"/>
                <w:szCs w:val="20"/>
              </w:rPr>
            </w:pPr>
            <w:r w:rsidRPr="00194C01">
              <w:rPr>
                <w:rFonts w:eastAsia="Arial"/>
                <w:sz w:val="20"/>
                <w:szCs w:val="20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375" w14:textId="0D9F3C8F" w:rsidR="00E21E27" w:rsidRPr="004943CA" w:rsidRDefault="00E21E27" w:rsidP="00E21E27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Follow </w:t>
            </w:r>
            <w:hyperlink r:id="rId14" w:anchor="contents">
              <w:r w:rsidRPr="004943CA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yellow"/>
                </w:rPr>
                <w:t>government guidelines</w:t>
              </w:r>
            </w:hyperlink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for up to date information and regularly check to ensure your group is compliant. </w:t>
            </w:r>
          </w:p>
          <w:p w14:paraId="1C042D8B" w14:textId="234A48C1" w:rsidR="00E21E27" w:rsidRPr="004943CA" w:rsidRDefault="00E21E27" w:rsidP="00E21E27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Ensure all venues are booked ahead so you are aware of their specific guidelines </w:t>
            </w:r>
          </w:p>
          <w:p w14:paraId="65D22073" w14:textId="759DE058" w:rsidR="00E21E27" w:rsidRPr="004943CA" w:rsidRDefault="00E21E27" w:rsidP="00E21E27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If crowd control becomes an issue then notify University Security by either calling </w:t>
            </w:r>
            <w:r w:rsidRPr="004943CA">
              <w:rPr>
                <w:rFonts w:ascii="Arial" w:eastAsia="Arial" w:hAnsi="Arial" w:cs="Arial"/>
                <w:color w:val="202329"/>
                <w:sz w:val="20"/>
                <w:szCs w:val="20"/>
                <w:highlight w:val="yellow"/>
              </w:rPr>
              <w:t>01225 385349 ( ext 5349 if using an internal phone) or call in to speak to them at the Library front desk</w:t>
            </w:r>
          </w:p>
          <w:p w14:paraId="1FFEE221" w14:textId="5C72AACA" w:rsidR="00E21E27" w:rsidRPr="00194C01" w:rsidRDefault="00E21E27" w:rsidP="00E21E2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color w:val="202329"/>
                <w:sz w:val="20"/>
                <w:szCs w:val="20"/>
                <w:highlight w:val="yellow"/>
              </w:rPr>
              <w:t>If first aid is required then contact Security using the above methods</w:t>
            </w:r>
          </w:p>
          <w:p w14:paraId="360EF35B" w14:textId="7E74FA40" w:rsidR="00194C01" w:rsidRPr="00194C01" w:rsidRDefault="00194C01" w:rsidP="00E21E2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02329"/>
                <w:sz w:val="20"/>
                <w:szCs w:val="20"/>
                <w:highlight w:val="yellow"/>
              </w:rPr>
              <w:t>At the time of writing, there are no limits on how many people can meet, but good practice is encouraged.</w:t>
            </w:r>
          </w:p>
          <w:p w14:paraId="60CBC5BD" w14:textId="77777777" w:rsidR="00194C01" w:rsidRPr="00194C01" w:rsidRDefault="00194C01" w:rsidP="00194C01">
            <w:pPr>
              <w:rPr>
                <w:sz w:val="20"/>
                <w:szCs w:val="20"/>
                <w:highlight w:val="yellow"/>
              </w:rPr>
            </w:pPr>
          </w:p>
          <w:p w14:paraId="3452F7D5" w14:textId="544C5DB0" w:rsidR="00E21E27" w:rsidRPr="004943CA" w:rsidRDefault="00E21E27" w:rsidP="00E21E27">
            <w:pPr>
              <w:rPr>
                <w:rFonts w:eastAsia="Arial"/>
                <w:sz w:val="20"/>
                <w:szCs w:val="20"/>
                <w:highlight w:val="yellow"/>
              </w:rPr>
            </w:pPr>
          </w:p>
        </w:tc>
      </w:tr>
      <w:tr w:rsidR="00E21E27" w14:paraId="02FC316A" w14:textId="77777777" w:rsidTr="00E21E27">
        <w:trPr>
          <w:gridAfter w:val="7"/>
          <w:wAfter w:w="14646" w:type="dxa"/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C1C" w14:textId="4E5267CB" w:rsidR="00E21E27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>
              <w:t>6.</w:t>
            </w:r>
          </w:p>
        </w:tc>
      </w:tr>
      <w:tr w:rsidR="00E21E27" w14:paraId="39390BE7" w14:textId="77777777" w:rsidTr="00E21E27">
        <w:trPr>
          <w:gridAfter w:val="7"/>
          <w:wAfter w:w="14646" w:type="dxa"/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57D" w14:textId="351CD0CC" w:rsidR="00E21E27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>
              <w:t>7.</w:t>
            </w:r>
          </w:p>
        </w:tc>
      </w:tr>
      <w:tr w:rsidR="00E21E27" w14:paraId="72A1E862" w14:textId="77777777" w:rsidTr="741E1BC3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D30635" w14:textId="69E3EC47" w:rsidR="00E21E27" w:rsidRDefault="00E21E27" w:rsidP="00E21E2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2" w:name="C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SECTION 3: Travel</w:t>
            </w:r>
            <w:bookmarkEnd w:id="2"/>
          </w:p>
        </w:tc>
      </w:tr>
      <w:tr w:rsidR="00E21E27" w14:paraId="15C08261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C3B" w14:textId="4FD61698" w:rsidR="00E21E27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B2D" w14:textId="01DC01E0" w:rsidR="00E21E27" w:rsidRPr="00576CDF" w:rsidRDefault="00E21E27" w:rsidP="00E21E27">
            <w:pPr>
              <w:rPr>
                <w:szCs w:val="22"/>
              </w:rPr>
            </w:pPr>
            <w:r w:rsidRPr="00576CDF">
              <w:t>Public Transport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BB9" w14:textId="5D617009" w:rsidR="00E21E27" w:rsidRPr="00576CDF" w:rsidRDefault="003C6BC4" w:rsidP="00E21E27">
            <w:r w:rsidRPr="00576CDF">
              <w:t>Players or coaches travelling to pitches.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39D" w14:textId="77777777" w:rsidR="00E21E27" w:rsidRPr="004943CA" w:rsidRDefault="00E21E27" w:rsidP="00E21E27">
            <w:pPr>
              <w:rPr>
                <w:highlight w:val="yellow"/>
              </w:rPr>
            </w:pPr>
          </w:p>
          <w:p w14:paraId="1F9A6AB1" w14:textId="0E3F2DB9" w:rsidR="00E21E27" w:rsidRPr="004943CA" w:rsidRDefault="00B3740F" w:rsidP="00E21E27">
            <w:pPr>
              <w:rPr>
                <w:highlight w:val="yellow"/>
              </w:rPr>
            </w:pPr>
            <w:r>
              <w:rPr>
                <w:highlight w:val="yellow"/>
              </w:rPr>
              <w:t>At the time of writing, masks are no longer legally required on public transport, however members are encouraged to use personal judgement to manage any risks.</w:t>
            </w:r>
          </w:p>
          <w:p w14:paraId="06D6A56F" w14:textId="5E3B2F82" w:rsidR="00E21E27" w:rsidRPr="004943CA" w:rsidRDefault="00E21E27" w:rsidP="00E21E27">
            <w:pPr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FC1" w14:textId="4B01E882" w:rsidR="00E21E27" w:rsidRPr="00576CDF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76CD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44D" w14:textId="0C0C756D" w:rsidR="00E21E27" w:rsidRPr="00576CDF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76CD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B1C" w14:textId="327E5140" w:rsidR="00E21E27" w:rsidRPr="00576CDF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76CD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A35" w14:textId="43ECB6D9" w:rsidR="00E21E27" w:rsidRPr="004943CA" w:rsidRDefault="00E21E27" w:rsidP="00E21E2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Masks must be worn at all time. Always follow up-dated </w:t>
            </w:r>
            <w:hyperlink r:id="rId15">
              <w:r w:rsidRPr="004943CA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yellow"/>
                </w:rPr>
                <w:t>government guidelines</w:t>
              </w:r>
            </w:hyperlink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7859528A" w14:textId="59D09805" w:rsidR="00E21E27" w:rsidRPr="004943CA" w:rsidRDefault="00B3740F" w:rsidP="00B3740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Members may refer to the above guidelines on transport for recommendations and considerations when travelling. </w:t>
            </w:r>
          </w:p>
        </w:tc>
      </w:tr>
      <w:tr w:rsidR="00E21E27" w14:paraId="2EDCBFBC" w14:textId="77777777" w:rsidTr="741E1BC3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27D32A" w14:textId="269E47FC" w:rsidR="00E21E27" w:rsidRDefault="00E21E27" w:rsidP="00E21E2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3" w:name="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SECTION 4: Performances</w:t>
            </w:r>
            <w:bookmarkEnd w:id="3"/>
          </w:p>
        </w:tc>
      </w:tr>
      <w:tr w:rsidR="00E21E27" w14:paraId="07D55328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217" w14:textId="649E01EA" w:rsidR="00E21E27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>
              <w:t>9.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496" w14:textId="690F5B21" w:rsidR="00E21E27" w:rsidRPr="00576CDF" w:rsidRDefault="00E21E27" w:rsidP="00E21E27">
            <w:r w:rsidRPr="00576CDF">
              <w:t>Amateur Performances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D34" w14:textId="6CFED4B7" w:rsidR="00E21E27" w:rsidRPr="00576CDF" w:rsidRDefault="00E21E27" w:rsidP="00E21E27">
            <w:r w:rsidRPr="00576CDF"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9B0" w14:textId="6BD51C46" w:rsidR="00E21E27" w:rsidRPr="00576CDF" w:rsidRDefault="00E21E27" w:rsidP="00E21E27">
            <w:r w:rsidRPr="00576CDF">
              <w:t>N/A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0A4" w14:textId="73E034A4" w:rsidR="00E21E27" w:rsidRPr="00576CDF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76CD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F97" w14:textId="5AA09FAE" w:rsidR="00E21E27" w:rsidRPr="00576CDF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76CD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892" w14:textId="1B10E931" w:rsidR="00E21E27" w:rsidRPr="00576CDF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76CD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292" w14:textId="77777777" w:rsidR="00E21E27" w:rsidRPr="004943CA" w:rsidRDefault="00E21E27" w:rsidP="00E21E2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943C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Stay up to date with </w:t>
            </w:r>
            <w:hyperlink r:id="rId16" w:anchor="arts-4-11">
              <w:r w:rsidRPr="004943CA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yellow"/>
                </w:rPr>
                <w:t>government guidelines on Performing Arts.</w:t>
              </w:r>
            </w:hyperlink>
          </w:p>
          <w:p w14:paraId="45C09307" w14:textId="6299E36B" w:rsidR="00E21E27" w:rsidRPr="004943CA" w:rsidRDefault="00E21E27" w:rsidP="00E21E2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</w:p>
        </w:tc>
      </w:tr>
      <w:tr w:rsidR="00E21E27" w14:paraId="6A02BDD0" w14:textId="77777777" w:rsidTr="741E1BC3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35D394" w14:textId="02CB9964" w:rsidR="00E21E27" w:rsidRDefault="00E21E27" w:rsidP="00E21E2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4" w:name="E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SECTION 5: Equipment</w:t>
            </w:r>
            <w:bookmarkEnd w:id="4"/>
          </w:p>
        </w:tc>
      </w:tr>
      <w:tr w:rsidR="00E21E27" w14:paraId="704DC2DD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7BB" w14:textId="6B0153DE" w:rsidR="00E21E27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B61" w14:textId="1E4383B8" w:rsidR="00E21E27" w:rsidRPr="00E35CC2" w:rsidRDefault="00E21E27" w:rsidP="00E21E27">
            <w:pPr>
              <w:rPr>
                <w:highlight w:val="yellow"/>
              </w:rPr>
            </w:pPr>
            <w:r w:rsidRPr="00E35CC2">
              <w:rPr>
                <w:highlight w:val="yellow"/>
              </w:rPr>
              <w:t>Sharing Equipment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55CA" w14:textId="6DAEC67C" w:rsidR="00E21E27" w:rsidRPr="00E35CC2" w:rsidRDefault="00E5253C" w:rsidP="00E21E27">
            <w:pPr>
              <w:rPr>
                <w:highlight w:val="yellow"/>
              </w:rPr>
            </w:pPr>
            <w:r w:rsidRPr="00E35CC2">
              <w:rPr>
                <w:highlight w:val="yellow"/>
              </w:rPr>
              <w:t>Players and coaches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026" w14:textId="3388692D" w:rsidR="00E21E27" w:rsidRPr="00E35CC2" w:rsidRDefault="00E21E27" w:rsidP="00E21E27">
            <w:pPr>
              <w:rPr>
                <w:rFonts w:eastAsia="Arial"/>
                <w:sz w:val="20"/>
                <w:szCs w:val="20"/>
                <w:highlight w:val="yellow"/>
              </w:rPr>
            </w:pPr>
            <w:r w:rsidRPr="00E35CC2">
              <w:rPr>
                <w:rFonts w:eastAsia="Arial"/>
                <w:sz w:val="20"/>
                <w:szCs w:val="20"/>
                <w:highlight w:val="yellow"/>
              </w:rPr>
              <w:t>Players will not share equipment such as bibs or water bottles. Each player will keep their own bib</w:t>
            </w:r>
            <w:r w:rsidR="00E5253C" w:rsidRPr="00E35CC2">
              <w:rPr>
                <w:rFonts w:eastAsia="Arial"/>
                <w:sz w:val="20"/>
                <w:szCs w:val="20"/>
                <w:highlight w:val="yellow"/>
              </w:rPr>
              <w:t xml:space="preserve"> and wash after use.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C82" w14:textId="3B675451" w:rsidR="00E21E27" w:rsidRPr="00E35CC2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  <w:r w:rsidRPr="00E35CC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4BE" w14:textId="00BE232B" w:rsidR="00E21E27" w:rsidRPr="00E35CC2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  <w:r w:rsidRPr="00E35CC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484" w14:textId="78069536" w:rsidR="00E21E27" w:rsidRPr="00E35CC2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  <w:r w:rsidRPr="00E35CC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B1A" w14:textId="4415CEAF" w:rsidR="00E21E27" w:rsidRPr="00E35CC2" w:rsidRDefault="00E21E27" w:rsidP="00E21E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35CC2">
              <w:rPr>
                <w:rFonts w:ascii="Arial" w:eastAsia="Arial" w:hAnsi="Arial" w:cs="Arial"/>
                <w:sz w:val="20"/>
                <w:szCs w:val="20"/>
                <w:highlight w:val="yellow"/>
              </w:rPr>
              <w:t>The sharing of equipment must be avoided until further notice. Please contact a member of SU Staff to discuss further if this proves to be an issue.</w:t>
            </w:r>
          </w:p>
          <w:p w14:paraId="279A94DE" w14:textId="692B3200" w:rsidR="00E21E27" w:rsidRPr="00E35CC2" w:rsidRDefault="00E21E27" w:rsidP="00E21E2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</w:pPr>
          </w:p>
        </w:tc>
      </w:tr>
      <w:tr w:rsidR="00E21E27" w14:paraId="200ED22F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DA8" w14:textId="50E97D1A" w:rsidR="00E21E27" w:rsidRPr="0068519D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 w:rsidRPr="0068519D">
              <w:lastRenderedPageBreak/>
              <w:t>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29" w14:textId="5987DB1A" w:rsidR="00E21E27" w:rsidRPr="0068519D" w:rsidRDefault="00E21E27" w:rsidP="00E21E27">
            <w:r w:rsidRPr="0068519D">
              <w:t>Manual Handling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1A8C" w14:textId="1BBFC2E4" w:rsidR="00E21E27" w:rsidRPr="0068519D" w:rsidRDefault="003C6BC4" w:rsidP="00E21E27">
            <w:r w:rsidRPr="0068519D">
              <w:t>Players carrying or moving equipment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1CA" w14:textId="77777777" w:rsidR="00E21E27" w:rsidRPr="0068519D" w:rsidRDefault="00E21E27" w:rsidP="00E21E27"/>
          <w:p w14:paraId="7B7445DD" w14:textId="5688AAEA" w:rsidR="00E21E27" w:rsidRPr="0068519D" w:rsidRDefault="003C6BC4" w:rsidP="00E21E27">
            <w:r w:rsidRPr="0068519D">
              <w:t>Players will be shown correct lifting technique and not move anything that is too heavy</w:t>
            </w:r>
          </w:p>
          <w:p w14:paraId="10930290" w14:textId="77777777" w:rsidR="00E21E27" w:rsidRPr="0068519D" w:rsidRDefault="00E21E27" w:rsidP="00E21E27"/>
          <w:p w14:paraId="4F100879" w14:textId="77777777" w:rsidR="00E21E27" w:rsidRPr="0068519D" w:rsidRDefault="00E21E27" w:rsidP="00E21E27"/>
          <w:p w14:paraId="7F0A5BE6" w14:textId="13FC3F2B" w:rsidR="00E21E27" w:rsidRPr="0068519D" w:rsidRDefault="00E21E27" w:rsidP="00E21E27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E40" w14:textId="53BE3C98" w:rsidR="00E21E27" w:rsidRPr="0068519D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54A" w14:textId="7030C570" w:rsidR="00E21E27" w:rsidRPr="0068519D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223" w14:textId="527D5E48" w:rsidR="00E21E27" w:rsidRPr="0068519D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112" w14:textId="75375226" w:rsidR="00E21E27" w:rsidRPr="0068519D" w:rsidRDefault="00E21E27" w:rsidP="00E21E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8519D">
              <w:rPr>
                <w:rFonts w:ascii="Arial" w:eastAsia="Arial" w:hAnsi="Arial" w:cs="Arial"/>
                <w:sz w:val="20"/>
                <w:szCs w:val="20"/>
              </w:rPr>
              <w:t>Where it is safe, equipment should be lifted by a single person</w:t>
            </w:r>
          </w:p>
          <w:p w14:paraId="081F794C" w14:textId="1FFE3EE5" w:rsidR="00E21E27" w:rsidRPr="0068519D" w:rsidRDefault="00E21E27" w:rsidP="00E21E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8519D">
              <w:rPr>
                <w:rFonts w:ascii="Arial" w:eastAsia="Arial" w:hAnsi="Arial" w:cs="Arial"/>
                <w:sz w:val="20"/>
                <w:szCs w:val="20"/>
              </w:rPr>
              <w:t>Load to be broken up into smaller loads suitable for an individual to carry if possible (eg where it is a box full of items)</w:t>
            </w:r>
          </w:p>
          <w:p w14:paraId="27E41694" w14:textId="18070B4B" w:rsidR="00E21E27" w:rsidRPr="0068519D" w:rsidRDefault="00E21E27" w:rsidP="00E21E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8519D">
              <w:rPr>
                <w:rFonts w:ascii="Arial" w:eastAsia="Arial" w:hAnsi="Arial" w:cs="Arial"/>
                <w:sz w:val="20"/>
                <w:szCs w:val="20"/>
              </w:rPr>
              <w:t>Lifting aids (eg trolley) to be used where possible to allow load to be moved by 1 person</w:t>
            </w:r>
          </w:p>
          <w:p w14:paraId="5EF68602" w14:textId="7905B2D1" w:rsidR="00E21E27" w:rsidRPr="0068519D" w:rsidRDefault="00E21E27" w:rsidP="00E21E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8519D">
              <w:rPr>
                <w:rFonts w:ascii="Arial" w:eastAsia="Arial" w:hAnsi="Arial" w:cs="Arial"/>
                <w:sz w:val="20"/>
                <w:szCs w:val="20"/>
              </w:rPr>
              <w:t>Heavy loads requiring multiple people to lift should not be moved if at all possible. If it is necessary to move heavy or bulky items with multiple individuals involved, contact a member of SU staff to discuss further</w:t>
            </w:r>
          </w:p>
          <w:p w14:paraId="3AB72B8F" w14:textId="0B210F5D" w:rsidR="00E21E27" w:rsidRPr="0068519D" w:rsidRDefault="00E21E27" w:rsidP="00E21E2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21E27" w14:paraId="1BA7CEE2" w14:textId="77777777" w:rsidTr="741E1BC3">
        <w:trPr>
          <w:cantSplit/>
          <w:trHeight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16004E0" w14:textId="19A46FBD" w:rsidR="00E21E27" w:rsidRPr="0068519D" w:rsidRDefault="00E21E27" w:rsidP="00E21E2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5" w:name="F"/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SECTION 6: Sport</w:t>
            </w:r>
            <w:bookmarkEnd w:id="5"/>
          </w:p>
        </w:tc>
      </w:tr>
      <w:tr w:rsidR="00E21E27" w14:paraId="120FDAF8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ED9" w14:textId="1925FE8E" w:rsidR="00E21E27" w:rsidRPr="0068519D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 w:rsidRPr="0068519D">
              <w:t>12.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DE5" w14:textId="1B84F177" w:rsidR="00E21E27" w:rsidRPr="0068519D" w:rsidRDefault="00E21E27" w:rsidP="00E21E27">
            <w:r w:rsidRPr="0068519D">
              <w:t>Return to Sport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379" w14:textId="337D94A1" w:rsidR="00E21E27" w:rsidRPr="0068519D" w:rsidRDefault="00E21E27" w:rsidP="00E21E27">
            <w:r w:rsidRPr="0068519D">
              <w:t>All players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529" w14:textId="3C4EB35C" w:rsidR="00E21E27" w:rsidRPr="0068519D" w:rsidRDefault="00E21E27" w:rsidP="00E21E27">
            <w:pPr>
              <w:rPr>
                <w:rFonts w:eastAsia="Arial"/>
                <w:sz w:val="20"/>
                <w:szCs w:val="20"/>
              </w:rPr>
            </w:pPr>
            <w:r w:rsidRPr="0068519D">
              <w:rPr>
                <w:rFonts w:eastAsia="Arial"/>
                <w:sz w:val="20"/>
                <w:szCs w:val="20"/>
              </w:rPr>
              <w:t>We will ensure we will keep up to date with guidance from the FA, in line with government guidance, along with any additional university guidelines.</w:t>
            </w:r>
            <w:r w:rsidR="003C6BC4" w:rsidRPr="0068519D">
              <w:rPr>
                <w:rFonts w:eastAsia="Arial"/>
                <w:sz w:val="20"/>
                <w:szCs w:val="20"/>
              </w:rPr>
              <w:t xml:space="preserve"> We will continue to follow the Return to Football NOP submitted.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552" w14:textId="35C57F8D" w:rsidR="00E21E27" w:rsidRPr="0068519D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2F2" w14:textId="44183572" w:rsidR="00E21E27" w:rsidRPr="0068519D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4AE" w14:textId="32AB1391" w:rsidR="00E21E27" w:rsidRPr="0068519D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8519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DEA" w14:textId="57C490C1" w:rsidR="00E21E27" w:rsidRPr="0068519D" w:rsidRDefault="00E21E27" w:rsidP="00E21E2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0"/>
              </w:rPr>
            </w:pPr>
            <w:r w:rsidRPr="0068519D">
              <w:rPr>
                <w:rFonts w:ascii="Arial" w:eastAsia="Arial" w:hAnsi="Arial" w:cs="Arial"/>
                <w:b w:val="0"/>
                <w:bCs w:val="0"/>
                <w:sz w:val="20"/>
                <w:u w:val="none"/>
              </w:rPr>
              <w:t xml:space="preserve">Each club must only return to sport when they have the appropriate measures in place as developed by their specific Governing Bodies </w:t>
            </w:r>
            <w:hyperlink r:id="rId17">
              <w:r w:rsidRPr="0068519D">
                <w:rPr>
                  <w:rStyle w:val="Hyperlink"/>
                  <w:rFonts w:ascii="Arial" w:eastAsia="Arial" w:hAnsi="Arial" w:cs="Arial"/>
                  <w:sz w:val="20"/>
                </w:rPr>
                <w:t>general government guidance in relation to recreational sport</w:t>
              </w:r>
            </w:hyperlink>
            <w:r w:rsidRPr="0068519D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F7DE16" w14:textId="45811EE4" w:rsidR="00E21E27" w:rsidRPr="0068519D" w:rsidRDefault="00E21E27" w:rsidP="00E21E27">
            <w:pPr>
              <w:pStyle w:val="Title"/>
              <w:spacing w:line="276" w:lineRule="auto"/>
              <w:ind w:left="360"/>
              <w:jc w:val="left"/>
              <w:rPr>
                <w:rFonts w:ascii="Arial" w:eastAsia="Arial" w:hAnsi="Arial" w:cs="Arial"/>
                <w:sz w:val="20"/>
              </w:rPr>
            </w:pPr>
          </w:p>
        </w:tc>
      </w:tr>
      <w:tr w:rsidR="00E21E27" w14:paraId="0A3B3E50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201" w14:textId="08C7B0AA" w:rsidR="00E21E27" w:rsidRDefault="00E21E27" w:rsidP="00E21E2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13.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5E5" w14:textId="2C399942" w:rsidR="00E21E27" w:rsidRPr="00B01468" w:rsidRDefault="00E21E27" w:rsidP="00E21E27">
            <w:pPr>
              <w:rPr>
                <w:szCs w:val="22"/>
              </w:rPr>
            </w:pPr>
            <w:r w:rsidRPr="00B01468">
              <w:t>Facility Usage</w:t>
            </w:r>
            <w:r w:rsidR="003C6BC4" w:rsidRPr="00B01468">
              <w:t xml:space="preserve"> (St Johns, 3G Training Strip, Limekiln, SULIS, Eastwood, Astro)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19D" w14:textId="77777777" w:rsidR="00E21E27" w:rsidRPr="00B01468" w:rsidRDefault="00E21E27" w:rsidP="00E21E27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AB68" w14:textId="44FD3860" w:rsidR="00E21E27" w:rsidRPr="00B01468" w:rsidRDefault="00E21E27" w:rsidP="00E21E27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789" w14:textId="78A32FBA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0146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C0B" w14:textId="239866E0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0146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3C6" w14:textId="7BE48A20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0146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69E" w14:textId="2A5FBC75" w:rsidR="00E21E27" w:rsidRPr="00B01468" w:rsidRDefault="00E21E27" w:rsidP="00E21E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1468">
              <w:rPr>
                <w:rFonts w:ascii="Arial" w:eastAsia="Arial" w:hAnsi="Arial" w:cs="Arial"/>
                <w:sz w:val="20"/>
                <w:szCs w:val="20"/>
              </w:rPr>
              <w:t>For sports reliant on third party owned or managed facilities adherence to these guidelines should be worked out collaboratively between club and facility.</w:t>
            </w:r>
          </w:p>
          <w:p w14:paraId="06DA2895" w14:textId="078E8EC3" w:rsidR="00E21E27" w:rsidRPr="00B01468" w:rsidRDefault="00E21E27" w:rsidP="00E21E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B01468">
              <w:rPr>
                <w:rFonts w:ascii="Arial" w:eastAsia="Arial" w:hAnsi="Arial" w:cs="Arial"/>
                <w:sz w:val="20"/>
                <w:szCs w:val="20"/>
              </w:rPr>
              <w:t>Each facility must have a specific facility operations plan that incorporates a full risk assessment.</w:t>
            </w:r>
          </w:p>
          <w:p w14:paraId="510364B4" w14:textId="4D757DFC" w:rsidR="00E21E27" w:rsidRPr="00B01468" w:rsidRDefault="00E21E27" w:rsidP="00E21E2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21E27" w14:paraId="2F8686EA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DD22C47" w14:textId="77777777" w:rsidR="00E21E27" w:rsidRDefault="00E21E27" w:rsidP="00E21E27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2F94F86" w14:textId="3AE48E78" w:rsidR="00E21E27" w:rsidRPr="00B01468" w:rsidRDefault="00E21E27" w:rsidP="00E21E27">
            <w:pPr>
              <w:rPr>
                <w:b/>
                <w:bCs/>
                <w:color w:val="0D0D0D" w:themeColor="text1" w:themeTint="F2"/>
              </w:rPr>
            </w:pPr>
            <w:r w:rsidRPr="00B01468">
              <w:rPr>
                <w:b/>
                <w:bCs/>
                <w:color w:val="0D0D0D" w:themeColor="text1" w:themeTint="F2"/>
              </w:rPr>
              <w:t>Section 7: Financial Risk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16C9634" w14:textId="77777777" w:rsidR="00E21E27" w:rsidRPr="00B01468" w:rsidRDefault="00E21E27" w:rsidP="00E21E27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DCB3084" w14:textId="77777777" w:rsidR="00E21E27" w:rsidRPr="00B01468" w:rsidRDefault="00E21E27" w:rsidP="00E21E27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71119D0" w14:textId="77777777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617FC95" w14:textId="77777777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141A690" w14:textId="77777777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E9FB242" w14:textId="77777777" w:rsidR="00E21E27" w:rsidRPr="00B01468" w:rsidRDefault="00E21E27" w:rsidP="00E21E2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21E27" w14:paraId="3AB045C3" w14:textId="77777777" w:rsidTr="00E21E27">
        <w:trPr>
          <w:cantSplit/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78ED" w14:textId="6A4A3F07" w:rsidR="00E21E27" w:rsidRDefault="00E21E27" w:rsidP="00E21E27">
            <w:r>
              <w:t>14.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599" w14:textId="39B9DE4D" w:rsidR="00E21E27" w:rsidRPr="00B01468" w:rsidRDefault="00E21E27" w:rsidP="00E21E27">
            <w:r w:rsidRPr="00B01468">
              <w:t>Event/Activity costs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F06" w14:textId="78F40B65" w:rsidR="00E21E27" w:rsidRPr="00B01468" w:rsidRDefault="00E21E27" w:rsidP="00E21E27">
            <w:r w:rsidRPr="00B01468">
              <w:t>SU</w:t>
            </w:r>
          </w:p>
          <w:p w14:paraId="7AE18ED4" w14:textId="7D5BFB92" w:rsidR="00E21E27" w:rsidRPr="00B01468" w:rsidRDefault="00E21E27" w:rsidP="00E21E27">
            <w:r w:rsidRPr="00B01468">
              <w:t>Student groups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976" w14:textId="1827956F" w:rsidR="00E21E27" w:rsidRPr="00B01468" w:rsidRDefault="00E21E27" w:rsidP="00E21E27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3D2" w14:textId="4135B4F2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0146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B80" w14:textId="634718FD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0146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76C" w14:textId="5ADA0484" w:rsidR="00E21E27" w:rsidRPr="00B01468" w:rsidRDefault="00E21E27" w:rsidP="00E21E2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0146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2C0" w14:textId="0B0387C9" w:rsidR="00E21E27" w:rsidRPr="00B01468" w:rsidRDefault="00E21E27" w:rsidP="00E21E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1468">
              <w:rPr>
                <w:rFonts w:ascii="Arial" w:eastAsia="Arial" w:hAnsi="Arial" w:cs="Arial"/>
                <w:sz w:val="20"/>
                <w:szCs w:val="20"/>
              </w:rPr>
              <w:t>Each activity to go through the SU’s Event Planner process</w:t>
            </w:r>
          </w:p>
          <w:p w14:paraId="6DBE8314" w14:textId="2B438745" w:rsidR="00E21E27" w:rsidRPr="00B01468" w:rsidRDefault="00E21E27" w:rsidP="00E21E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1468">
              <w:rPr>
                <w:rFonts w:ascii="Arial" w:eastAsia="Arial" w:hAnsi="Arial" w:cs="Arial"/>
                <w:sz w:val="20"/>
                <w:szCs w:val="20"/>
              </w:rPr>
              <w:t>Student Leader and SU Staff to check contracts and agree to the terms and conditions</w:t>
            </w:r>
          </w:p>
          <w:p w14:paraId="40A921ED" w14:textId="21E3B6C3" w:rsidR="00E21E27" w:rsidRPr="00B01468" w:rsidRDefault="00E21E27" w:rsidP="00E21E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1468">
              <w:rPr>
                <w:rFonts w:ascii="Arial" w:eastAsia="Arial" w:hAnsi="Arial" w:cs="Arial"/>
                <w:sz w:val="20"/>
                <w:szCs w:val="20"/>
              </w:rPr>
              <w:t>Student Leader/Treasurer to obtain authorisation from the SU before invoice payments are made</w:t>
            </w:r>
          </w:p>
          <w:p w14:paraId="78A828C2" w14:textId="548B8292" w:rsidR="00E21E27" w:rsidRPr="00B01468" w:rsidRDefault="00E21E27" w:rsidP="00E21E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1468">
              <w:rPr>
                <w:rFonts w:ascii="Arial" w:eastAsia="Arial" w:hAnsi="Arial" w:cs="Arial"/>
                <w:sz w:val="20"/>
                <w:szCs w:val="20"/>
              </w:rPr>
              <w:t>To be aware of the financial implications if the event is cancelled due to Covid 19 regulations</w:t>
            </w:r>
          </w:p>
          <w:p w14:paraId="25048D5F" w14:textId="32302DD1" w:rsidR="00E21E27" w:rsidRPr="00B01468" w:rsidRDefault="00E21E27" w:rsidP="00E21E2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177111EC" w14:textId="77777777" w:rsidR="00F23803" w:rsidRDefault="00F23803" w:rsidP="00F23803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67C95A88" w14:textId="77777777" w:rsidR="00F23803" w:rsidRDefault="00F23803" w:rsidP="00F23803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881"/>
        <w:gridCol w:w="2715"/>
      </w:tblGrid>
      <w:tr w:rsidR="00F23803" w14:paraId="4FA29013" w14:textId="77777777" w:rsidTr="00F46746">
        <w:trPr>
          <w:cantSplit/>
          <w:trHeight w:val="9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E68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32069DF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2E60F4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EE5D44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FA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67B7B5E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DCA46C6" w14:textId="640CA9F8" w:rsidR="00F23803" w:rsidRDefault="000E1092" w:rsidP="00A9403B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Charlotte Greenlees </w:t>
            </w:r>
          </w:p>
          <w:p w14:paraId="2409C3F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0C0" w14:textId="77777777" w:rsidR="00F23803" w:rsidRDefault="00F23803" w:rsidP="00A9403B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01C7D4E" w14:textId="77777777" w:rsidR="00F23803" w:rsidRDefault="00F23803" w:rsidP="00A9403B">
            <w:pPr>
              <w:rPr>
                <w:b/>
              </w:rPr>
            </w:pPr>
          </w:p>
          <w:p w14:paraId="40000515" w14:textId="7E894798" w:rsidR="00F23803" w:rsidRDefault="000E1092" w:rsidP="00A9403B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  <w:r w:rsidR="00B01468">
              <w:rPr>
                <w:b/>
                <w:bCs/>
                <w:color w:val="000000"/>
                <w:szCs w:val="20"/>
              </w:rPr>
              <w:t>2</w:t>
            </w:r>
            <w:r>
              <w:rPr>
                <w:b/>
                <w:bCs/>
                <w:color w:val="000000"/>
                <w:szCs w:val="20"/>
              </w:rPr>
              <w:t>/10/2021</w:t>
            </w:r>
          </w:p>
          <w:p w14:paraId="5BCFD81C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2A7E03F1" w14:textId="77777777" w:rsidR="00F23803" w:rsidRDefault="00F23803" w:rsidP="00F238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10"/>
        <w:gridCol w:w="1688"/>
        <w:gridCol w:w="1454"/>
        <w:gridCol w:w="1588"/>
        <w:gridCol w:w="4768"/>
      </w:tblGrid>
      <w:tr w:rsidR="00F23803" w14:paraId="7C26BC8D" w14:textId="77777777" w:rsidTr="00A9403B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02A0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60F3984D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F23803" w14:paraId="1BF96F24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1C73B7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F90357B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608F38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5632186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709E4C6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9A6AA2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F23803" w14:paraId="00E93D7E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AF3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D9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1B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87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B6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C7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3ECB50D9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BF7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74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A9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41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3B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13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0ED4F10C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BD4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31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61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D4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51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BE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37327ED5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455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DF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81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E4F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B5E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9DA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293CF261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4BE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BD0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CA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6D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CB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FE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0F440C8C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C12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74B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06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F1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F0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08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2941A1B1" w14:textId="77777777" w:rsidTr="00A94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53E" w14:textId="77777777" w:rsidR="00F23803" w:rsidRDefault="00F23803" w:rsidP="00A9403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FB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02607D5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17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3D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8F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024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23803" w14:paraId="027C28FC" w14:textId="77777777" w:rsidTr="00A9403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A42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4530205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25585B1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5F6BA3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552541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227142E9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9D6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788634BC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FA20303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155A6787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8426CED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3759937E" w14:textId="77777777" w:rsidR="00F23803" w:rsidRDefault="00F23803" w:rsidP="00A9403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703D07B6" w14:textId="77777777" w:rsidR="00F23803" w:rsidRDefault="00F23803" w:rsidP="00F23803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705DCBD9" w14:textId="77777777" w:rsidR="00F23803" w:rsidRDefault="00F23803" w:rsidP="00F23803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96248FA" w14:textId="77777777" w:rsidR="00F23803" w:rsidRDefault="00F23803" w:rsidP="00F23803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2A96967C" w14:textId="77777777" w:rsidR="00F23803" w:rsidRDefault="00F23803" w:rsidP="00F23803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6E17C998" w14:textId="77777777" w:rsidR="00F23803" w:rsidRDefault="00F23803" w:rsidP="00F23803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219DAF0D" w14:textId="77777777" w:rsidR="00F23803" w:rsidRDefault="00F23803" w:rsidP="00F23803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40"/>
        <w:gridCol w:w="5558"/>
        <w:gridCol w:w="3772"/>
      </w:tblGrid>
      <w:tr w:rsidR="00F23803" w14:paraId="3466341E" w14:textId="77777777" w:rsidTr="00A9403B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514FAD" w14:textId="77777777" w:rsidR="00F23803" w:rsidRDefault="00F23803" w:rsidP="00A9403B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F6A8466" w14:textId="77777777" w:rsidR="00F23803" w:rsidRDefault="00F23803" w:rsidP="00A9403B">
            <w:r>
              <w:rPr>
                <w:i/>
                <w:sz w:val="20"/>
              </w:rPr>
              <w:t>All others undertaking the process described must signify that they understand the hazards and risks.</w:t>
            </w:r>
          </w:p>
        </w:tc>
      </w:tr>
      <w:tr w:rsidR="00F23803" w14:paraId="5E578CC4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A2E80" w14:textId="77777777" w:rsidR="00F23803" w:rsidRDefault="00F23803" w:rsidP="00A9403B">
            <w:r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6C8E7" w14:textId="77777777" w:rsidR="00F23803" w:rsidRDefault="00F23803" w:rsidP="00A9403B">
            <w:r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562F0B" w14:textId="77777777" w:rsidR="00F23803" w:rsidRDefault="00F23803" w:rsidP="00A9403B">
            <w:r>
              <w:t>Date:</w:t>
            </w:r>
          </w:p>
        </w:tc>
      </w:tr>
      <w:tr w:rsidR="00F23803" w14:paraId="3F5CE1B3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017E3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53C0" w14:textId="77777777" w:rsidR="00F23803" w:rsidRDefault="00F23803" w:rsidP="00A9403B"/>
          <w:p w14:paraId="1BD6E95C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32486" w14:textId="77777777" w:rsidR="00F23803" w:rsidRDefault="00F23803" w:rsidP="00A9403B"/>
        </w:tc>
      </w:tr>
      <w:tr w:rsidR="00F23803" w14:paraId="70C07D1C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B72A1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C31" w14:textId="77777777" w:rsidR="00F23803" w:rsidRDefault="00F23803" w:rsidP="00A9403B"/>
          <w:p w14:paraId="6803F762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664A8" w14:textId="77777777" w:rsidR="00F23803" w:rsidRDefault="00F23803" w:rsidP="00A9403B"/>
        </w:tc>
      </w:tr>
      <w:tr w:rsidR="00F23803" w14:paraId="269799E7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C9395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9112" w14:textId="77777777" w:rsidR="00F23803" w:rsidRDefault="00F23803" w:rsidP="00A9403B"/>
          <w:p w14:paraId="0DF8467E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51948" w14:textId="77777777" w:rsidR="00F23803" w:rsidRDefault="00F23803" w:rsidP="00A9403B"/>
        </w:tc>
      </w:tr>
      <w:tr w:rsidR="00F23803" w14:paraId="223906E8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7F5FB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6776" w14:textId="77777777" w:rsidR="00F23803" w:rsidRDefault="00F23803" w:rsidP="00A9403B"/>
          <w:p w14:paraId="35220C6F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3CDBF" w14:textId="77777777" w:rsidR="00F23803" w:rsidRDefault="00F23803" w:rsidP="00A9403B"/>
        </w:tc>
      </w:tr>
      <w:tr w:rsidR="00F23803" w14:paraId="52015233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AC921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981A" w14:textId="77777777" w:rsidR="00F23803" w:rsidRDefault="00F23803" w:rsidP="00A9403B"/>
          <w:p w14:paraId="58E22896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BF3B5" w14:textId="77777777" w:rsidR="00F23803" w:rsidRDefault="00F23803" w:rsidP="00A9403B"/>
        </w:tc>
      </w:tr>
      <w:tr w:rsidR="00F23803" w14:paraId="36657B7A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B5AA7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7045" w14:textId="77777777" w:rsidR="00F23803" w:rsidRDefault="00F23803" w:rsidP="00A9403B"/>
          <w:p w14:paraId="2B8CB200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586E9" w14:textId="77777777" w:rsidR="00F23803" w:rsidRDefault="00F23803" w:rsidP="00A9403B"/>
        </w:tc>
      </w:tr>
      <w:tr w:rsidR="00F23803" w14:paraId="63DAA855" w14:textId="77777777" w:rsidTr="00A9403B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3EC132" w14:textId="77777777" w:rsidR="00F23803" w:rsidRDefault="00F23803" w:rsidP="00A9403B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869F1C" w14:textId="77777777" w:rsidR="00F23803" w:rsidRDefault="00F23803" w:rsidP="00A9403B"/>
          <w:p w14:paraId="5F92F06D" w14:textId="77777777" w:rsidR="00F23803" w:rsidRDefault="00F23803" w:rsidP="00A9403B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1E7E29" w14:textId="77777777" w:rsidR="00F23803" w:rsidRDefault="00F23803" w:rsidP="00A9403B"/>
        </w:tc>
      </w:tr>
    </w:tbl>
    <w:p w14:paraId="5678C2FB" w14:textId="77777777" w:rsidR="00F23803" w:rsidRDefault="00F23803" w:rsidP="00F23803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71DD0BEB" w14:textId="77777777" w:rsidR="00F23803" w:rsidRDefault="00F23803" w:rsidP="00F23803"/>
    <w:p w14:paraId="39F6047F" w14:textId="77777777" w:rsidR="001C5FCE" w:rsidRDefault="001C5FCE"/>
    <w:sectPr w:rsidR="001C5FCE" w:rsidSect="00A9403B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7B17" w14:textId="77777777" w:rsidR="00EE6590" w:rsidRDefault="00EE6590">
      <w:r>
        <w:separator/>
      </w:r>
    </w:p>
  </w:endnote>
  <w:endnote w:type="continuationSeparator" w:id="0">
    <w:p w14:paraId="38EB2AFA" w14:textId="77777777" w:rsidR="00EE6590" w:rsidRDefault="00E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6D392F" w14:paraId="335134E1" w14:textId="77777777" w:rsidTr="798C38F4">
      <w:tc>
        <w:tcPr>
          <w:tcW w:w="4653" w:type="dxa"/>
        </w:tcPr>
        <w:p w14:paraId="36448253" w14:textId="7AA865EA" w:rsidR="006D392F" w:rsidRDefault="006D392F" w:rsidP="798C38F4">
          <w:pPr>
            <w:pStyle w:val="Header"/>
            <w:ind w:left="-115"/>
          </w:pPr>
        </w:p>
      </w:tc>
      <w:tc>
        <w:tcPr>
          <w:tcW w:w="4653" w:type="dxa"/>
        </w:tcPr>
        <w:p w14:paraId="18A97243" w14:textId="2D6BF614" w:rsidR="006D392F" w:rsidRDefault="006D392F" w:rsidP="798C38F4">
          <w:pPr>
            <w:pStyle w:val="Header"/>
            <w:jc w:val="center"/>
          </w:pPr>
        </w:p>
      </w:tc>
      <w:tc>
        <w:tcPr>
          <w:tcW w:w="4653" w:type="dxa"/>
        </w:tcPr>
        <w:p w14:paraId="00A11423" w14:textId="07DBADDC" w:rsidR="006D392F" w:rsidRDefault="006D392F" w:rsidP="798C38F4">
          <w:pPr>
            <w:pStyle w:val="Header"/>
            <w:ind w:right="-115"/>
            <w:jc w:val="right"/>
          </w:pPr>
        </w:p>
      </w:tc>
    </w:tr>
  </w:tbl>
  <w:p w14:paraId="62ACD9BD" w14:textId="779FF959" w:rsidR="006D392F" w:rsidRDefault="006D392F" w:rsidP="798C3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CE2F" w14:textId="77777777" w:rsidR="00EE6590" w:rsidRDefault="00EE6590">
      <w:r>
        <w:separator/>
      </w:r>
    </w:p>
  </w:footnote>
  <w:footnote w:type="continuationSeparator" w:id="0">
    <w:p w14:paraId="7F8497DA" w14:textId="77777777" w:rsidR="00EE6590" w:rsidRDefault="00EE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6D392F" w14:paraId="5D939A8D" w14:textId="77777777" w:rsidTr="798C38F4">
      <w:tc>
        <w:tcPr>
          <w:tcW w:w="4653" w:type="dxa"/>
        </w:tcPr>
        <w:p w14:paraId="5335E40C" w14:textId="61ED92E2" w:rsidR="006D392F" w:rsidRDefault="006D392F" w:rsidP="798C38F4">
          <w:pPr>
            <w:pStyle w:val="Header"/>
            <w:ind w:left="-115"/>
          </w:pPr>
        </w:p>
      </w:tc>
      <w:tc>
        <w:tcPr>
          <w:tcW w:w="4653" w:type="dxa"/>
        </w:tcPr>
        <w:p w14:paraId="553CAC94" w14:textId="2E2A496A" w:rsidR="006D392F" w:rsidRDefault="006D392F" w:rsidP="798C38F4">
          <w:pPr>
            <w:pStyle w:val="Header"/>
            <w:jc w:val="center"/>
          </w:pPr>
        </w:p>
      </w:tc>
      <w:tc>
        <w:tcPr>
          <w:tcW w:w="4653" w:type="dxa"/>
        </w:tcPr>
        <w:p w14:paraId="0861B96F" w14:textId="3FD28E0B" w:rsidR="006D392F" w:rsidRDefault="006D392F" w:rsidP="798C38F4">
          <w:pPr>
            <w:pStyle w:val="Header"/>
            <w:ind w:right="-115"/>
            <w:jc w:val="right"/>
          </w:pPr>
        </w:p>
      </w:tc>
    </w:tr>
  </w:tbl>
  <w:p w14:paraId="300DA596" w14:textId="02D4DD08" w:rsidR="006D392F" w:rsidRDefault="006D392F" w:rsidP="798C3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1E"/>
    <w:multiLevelType w:val="hybridMultilevel"/>
    <w:tmpl w:val="34C4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403"/>
    <w:multiLevelType w:val="hybridMultilevel"/>
    <w:tmpl w:val="0EC027AE"/>
    <w:lvl w:ilvl="0" w:tplc="9D961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AC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4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E9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6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8F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0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C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EC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ED9"/>
    <w:multiLevelType w:val="hybridMultilevel"/>
    <w:tmpl w:val="4A7257DE"/>
    <w:lvl w:ilvl="0" w:tplc="381C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CC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28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25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CD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A4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5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CF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63EB"/>
    <w:multiLevelType w:val="hybridMultilevel"/>
    <w:tmpl w:val="129A08FA"/>
    <w:lvl w:ilvl="0" w:tplc="CC36A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6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B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B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2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A0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C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EE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0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46DD"/>
    <w:multiLevelType w:val="hybridMultilevel"/>
    <w:tmpl w:val="A40AA660"/>
    <w:lvl w:ilvl="0" w:tplc="4344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E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42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F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A3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CC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8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C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1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232"/>
    <w:multiLevelType w:val="hybridMultilevel"/>
    <w:tmpl w:val="4CE6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7B6A"/>
    <w:multiLevelType w:val="hybridMultilevel"/>
    <w:tmpl w:val="B544727A"/>
    <w:lvl w:ilvl="0" w:tplc="4D9271E4">
      <w:start w:val="1"/>
      <w:numFmt w:val="bullet"/>
      <w:lvlText w:val="·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9A3C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68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0F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CE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9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48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0E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4841"/>
    <w:multiLevelType w:val="hybridMultilevel"/>
    <w:tmpl w:val="650840F8"/>
    <w:lvl w:ilvl="0" w:tplc="B9D47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AA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2E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EE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C5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2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C7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0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46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482"/>
    <w:multiLevelType w:val="hybridMultilevel"/>
    <w:tmpl w:val="3D4AD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DCFC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7397"/>
    <w:multiLevelType w:val="hybridMultilevel"/>
    <w:tmpl w:val="92204DB0"/>
    <w:lvl w:ilvl="0" w:tplc="BF3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0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8B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C7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D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6E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8B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6F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E0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FE8"/>
    <w:multiLevelType w:val="hybridMultilevel"/>
    <w:tmpl w:val="0E82E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50B7B"/>
    <w:multiLevelType w:val="hybridMultilevel"/>
    <w:tmpl w:val="CDB05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4303"/>
    <w:multiLevelType w:val="hybridMultilevel"/>
    <w:tmpl w:val="384E70C2"/>
    <w:lvl w:ilvl="0" w:tplc="2B804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A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42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3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08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1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3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A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E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77D8"/>
    <w:multiLevelType w:val="hybridMultilevel"/>
    <w:tmpl w:val="B02898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5CEF"/>
    <w:multiLevelType w:val="hybridMultilevel"/>
    <w:tmpl w:val="191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05CC"/>
    <w:multiLevelType w:val="hybridMultilevel"/>
    <w:tmpl w:val="3050F1D4"/>
    <w:lvl w:ilvl="0" w:tplc="EF3E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6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8E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22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F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41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EE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25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D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2F9B"/>
    <w:multiLevelType w:val="hybridMultilevel"/>
    <w:tmpl w:val="27E49D36"/>
    <w:lvl w:ilvl="0" w:tplc="BBDA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2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2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CC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8A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83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24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0E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71E8D"/>
    <w:multiLevelType w:val="hybridMultilevel"/>
    <w:tmpl w:val="985EC77C"/>
    <w:lvl w:ilvl="0" w:tplc="9E0EE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2A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CC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67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A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81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F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28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4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B309D"/>
    <w:multiLevelType w:val="hybridMultilevel"/>
    <w:tmpl w:val="3A0ADF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B1A97"/>
    <w:multiLevelType w:val="hybridMultilevel"/>
    <w:tmpl w:val="8D5684C0"/>
    <w:lvl w:ilvl="0" w:tplc="5AD63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2B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6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4F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C4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E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63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A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1E9F"/>
    <w:multiLevelType w:val="hybridMultilevel"/>
    <w:tmpl w:val="DDB0512E"/>
    <w:lvl w:ilvl="0" w:tplc="CBE2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4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8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2E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0C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6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6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84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628A0"/>
    <w:multiLevelType w:val="hybridMultilevel"/>
    <w:tmpl w:val="996A0C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715E89"/>
    <w:multiLevelType w:val="hybridMultilevel"/>
    <w:tmpl w:val="E18A02C8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 w15:restartNumberingAfterBreak="0">
    <w:nsid w:val="50993281"/>
    <w:multiLevelType w:val="hybridMultilevel"/>
    <w:tmpl w:val="60AE731A"/>
    <w:lvl w:ilvl="0" w:tplc="08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4" w15:restartNumberingAfterBreak="0">
    <w:nsid w:val="591D7B46"/>
    <w:multiLevelType w:val="hybridMultilevel"/>
    <w:tmpl w:val="EDE4CD52"/>
    <w:lvl w:ilvl="0" w:tplc="65AE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C8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2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3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84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65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C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B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CC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10AEC"/>
    <w:multiLevelType w:val="hybridMultilevel"/>
    <w:tmpl w:val="6C8A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E2898"/>
    <w:multiLevelType w:val="hybridMultilevel"/>
    <w:tmpl w:val="242E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B0C5D"/>
    <w:multiLevelType w:val="hybridMultilevel"/>
    <w:tmpl w:val="FFD06A44"/>
    <w:lvl w:ilvl="0" w:tplc="369EA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9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45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B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4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C7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0B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2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25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665D"/>
    <w:multiLevelType w:val="hybridMultilevel"/>
    <w:tmpl w:val="9AA2B0F8"/>
    <w:lvl w:ilvl="0" w:tplc="9D58B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4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E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66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2B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E2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AC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41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2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D2E08"/>
    <w:multiLevelType w:val="hybridMultilevel"/>
    <w:tmpl w:val="FCF86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81EA0"/>
    <w:multiLevelType w:val="hybridMultilevel"/>
    <w:tmpl w:val="4600C322"/>
    <w:lvl w:ilvl="0" w:tplc="69EC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88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04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4F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4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7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2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40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1B20F4"/>
    <w:multiLevelType w:val="hybridMultilevel"/>
    <w:tmpl w:val="F61E65E0"/>
    <w:lvl w:ilvl="0" w:tplc="DE72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AA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E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A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27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29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B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06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744B4"/>
    <w:multiLevelType w:val="hybridMultilevel"/>
    <w:tmpl w:val="C422B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B12388"/>
    <w:multiLevelType w:val="hybridMultilevel"/>
    <w:tmpl w:val="7C8C9872"/>
    <w:lvl w:ilvl="0" w:tplc="F868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2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E4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E4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1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4A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1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0E3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34"/>
  </w:num>
  <w:num w:numId="5">
    <w:abstractNumId w:val="15"/>
  </w:num>
  <w:num w:numId="6">
    <w:abstractNumId w:val="4"/>
  </w:num>
  <w:num w:numId="7">
    <w:abstractNumId w:val="16"/>
  </w:num>
  <w:num w:numId="8">
    <w:abstractNumId w:val="27"/>
  </w:num>
  <w:num w:numId="9">
    <w:abstractNumId w:val="7"/>
  </w:num>
  <w:num w:numId="10">
    <w:abstractNumId w:val="24"/>
  </w:num>
  <w:num w:numId="11">
    <w:abstractNumId w:val="3"/>
  </w:num>
  <w:num w:numId="12">
    <w:abstractNumId w:val="9"/>
  </w:num>
  <w:num w:numId="13">
    <w:abstractNumId w:val="28"/>
  </w:num>
  <w:num w:numId="14">
    <w:abstractNumId w:val="30"/>
  </w:num>
  <w:num w:numId="15">
    <w:abstractNumId w:val="20"/>
  </w:num>
  <w:num w:numId="16">
    <w:abstractNumId w:val="1"/>
  </w:num>
  <w:num w:numId="17">
    <w:abstractNumId w:val="19"/>
  </w:num>
  <w:num w:numId="18">
    <w:abstractNumId w:val="32"/>
  </w:num>
  <w:num w:numId="19">
    <w:abstractNumId w:val="2"/>
  </w:num>
  <w:num w:numId="20">
    <w:abstractNumId w:val="31"/>
  </w:num>
  <w:num w:numId="21">
    <w:abstractNumId w:val="29"/>
  </w:num>
  <w:num w:numId="22">
    <w:abstractNumId w:val="33"/>
  </w:num>
  <w:num w:numId="23">
    <w:abstractNumId w:val="26"/>
  </w:num>
  <w:num w:numId="24">
    <w:abstractNumId w:val="25"/>
  </w:num>
  <w:num w:numId="25">
    <w:abstractNumId w:val="13"/>
  </w:num>
  <w:num w:numId="26">
    <w:abstractNumId w:val="18"/>
  </w:num>
  <w:num w:numId="27">
    <w:abstractNumId w:val="5"/>
  </w:num>
  <w:num w:numId="28">
    <w:abstractNumId w:val="14"/>
  </w:num>
  <w:num w:numId="29">
    <w:abstractNumId w:val="21"/>
  </w:num>
  <w:num w:numId="30">
    <w:abstractNumId w:val="11"/>
  </w:num>
  <w:num w:numId="31">
    <w:abstractNumId w:val="8"/>
  </w:num>
  <w:num w:numId="32">
    <w:abstractNumId w:val="10"/>
  </w:num>
  <w:num w:numId="33">
    <w:abstractNumId w:val="0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03"/>
    <w:rsid w:val="00016D99"/>
    <w:rsid w:val="00066B96"/>
    <w:rsid w:val="000E1092"/>
    <w:rsid w:val="0012116A"/>
    <w:rsid w:val="00194C01"/>
    <w:rsid w:val="001C5FCE"/>
    <w:rsid w:val="00229716"/>
    <w:rsid w:val="002A0527"/>
    <w:rsid w:val="002E3F01"/>
    <w:rsid w:val="0034077B"/>
    <w:rsid w:val="003C6BC4"/>
    <w:rsid w:val="003F2FE1"/>
    <w:rsid w:val="004943CA"/>
    <w:rsid w:val="00495B26"/>
    <w:rsid w:val="004C17D6"/>
    <w:rsid w:val="005417FB"/>
    <w:rsid w:val="00576CDF"/>
    <w:rsid w:val="005C3BFD"/>
    <w:rsid w:val="005C53EA"/>
    <w:rsid w:val="00616262"/>
    <w:rsid w:val="006813CC"/>
    <w:rsid w:val="0068519D"/>
    <w:rsid w:val="006D392F"/>
    <w:rsid w:val="00815336"/>
    <w:rsid w:val="00897C32"/>
    <w:rsid w:val="009F7821"/>
    <w:rsid w:val="009F782D"/>
    <w:rsid w:val="00A9403B"/>
    <w:rsid w:val="00B01468"/>
    <w:rsid w:val="00B3740F"/>
    <w:rsid w:val="00BA0097"/>
    <w:rsid w:val="00BE0970"/>
    <w:rsid w:val="00C23209"/>
    <w:rsid w:val="00C25060"/>
    <w:rsid w:val="00C60A9D"/>
    <w:rsid w:val="00C86CE1"/>
    <w:rsid w:val="00C9726C"/>
    <w:rsid w:val="00CA0BD0"/>
    <w:rsid w:val="00CA54B9"/>
    <w:rsid w:val="00DF63B0"/>
    <w:rsid w:val="00E21E27"/>
    <w:rsid w:val="00E35CC2"/>
    <w:rsid w:val="00E5253C"/>
    <w:rsid w:val="00EE6590"/>
    <w:rsid w:val="00F2149B"/>
    <w:rsid w:val="00F23803"/>
    <w:rsid w:val="00F46746"/>
    <w:rsid w:val="00FC7DDC"/>
    <w:rsid w:val="019079B5"/>
    <w:rsid w:val="01927AB3"/>
    <w:rsid w:val="01E36939"/>
    <w:rsid w:val="02073C21"/>
    <w:rsid w:val="04025207"/>
    <w:rsid w:val="046F084B"/>
    <w:rsid w:val="08266844"/>
    <w:rsid w:val="089776A8"/>
    <w:rsid w:val="08F4EA80"/>
    <w:rsid w:val="09767D01"/>
    <w:rsid w:val="098AA54D"/>
    <w:rsid w:val="09B75546"/>
    <w:rsid w:val="09CE8225"/>
    <w:rsid w:val="09CF7BE6"/>
    <w:rsid w:val="0BC4F161"/>
    <w:rsid w:val="0BE90D87"/>
    <w:rsid w:val="0D169F08"/>
    <w:rsid w:val="0D2FBF50"/>
    <w:rsid w:val="0DCEC7E6"/>
    <w:rsid w:val="0E1ABEFF"/>
    <w:rsid w:val="0E9624DD"/>
    <w:rsid w:val="0EAF2C6E"/>
    <w:rsid w:val="0EEA19D0"/>
    <w:rsid w:val="0F61C576"/>
    <w:rsid w:val="0F6415AF"/>
    <w:rsid w:val="10417FD8"/>
    <w:rsid w:val="10E89CBA"/>
    <w:rsid w:val="115A1A33"/>
    <w:rsid w:val="11EF1E75"/>
    <w:rsid w:val="125F9BEB"/>
    <w:rsid w:val="132C0CB8"/>
    <w:rsid w:val="14B4C3FE"/>
    <w:rsid w:val="14DABDD0"/>
    <w:rsid w:val="167CF526"/>
    <w:rsid w:val="170A6DCE"/>
    <w:rsid w:val="17377131"/>
    <w:rsid w:val="179C32C1"/>
    <w:rsid w:val="181346C2"/>
    <w:rsid w:val="1827B91F"/>
    <w:rsid w:val="192B0276"/>
    <w:rsid w:val="193DFE7D"/>
    <w:rsid w:val="19548519"/>
    <w:rsid w:val="1960D011"/>
    <w:rsid w:val="19A9B52B"/>
    <w:rsid w:val="1A1A93BE"/>
    <w:rsid w:val="1A851882"/>
    <w:rsid w:val="1CD84845"/>
    <w:rsid w:val="1D41C022"/>
    <w:rsid w:val="1D6A18F8"/>
    <w:rsid w:val="1D872CA5"/>
    <w:rsid w:val="1E16C365"/>
    <w:rsid w:val="1EA62941"/>
    <w:rsid w:val="1ECACADC"/>
    <w:rsid w:val="20959C4D"/>
    <w:rsid w:val="20990494"/>
    <w:rsid w:val="22963F40"/>
    <w:rsid w:val="22B00E85"/>
    <w:rsid w:val="22B31BD0"/>
    <w:rsid w:val="23C19AD6"/>
    <w:rsid w:val="23E72EE4"/>
    <w:rsid w:val="24B3F915"/>
    <w:rsid w:val="2529BF8D"/>
    <w:rsid w:val="262CF39B"/>
    <w:rsid w:val="268DBF08"/>
    <w:rsid w:val="26E6BAEB"/>
    <w:rsid w:val="270EA501"/>
    <w:rsid w:val="28051D3F"/>
    <w:rsid w:val="28251FDD"/>
    <w:rsid w:val="287BB107"/>
    <w:rsid w:val="2945CDA5"/>
    <w:rsid w:val="297C441E"/>
    <w:rsid w:val="29C868FB"/>
    <w:rsid w:val="2A8EC675"/>
    <w:rsid w:val="2B54D15A"/>
    <w:rsid w:val="2D7BA564"/>
    <w:rsid w:val="2DAE885B"/>
    <w:rsid w:val="2DBF096B"/>
    <w:rsid w:val="2E07623D"/>
    <w:rsid w:val="2E5BB0F5"/>
    <w:rsid w:val="2E6698ED"/>
    <w:rsid w:val="2F5BC16C"/>
    <w:rsid w:val="2F87B821"/>
    <w:rsid w:val="2F880338"/>
    <w:rsid w:val="301E21C7"/>
    <w:rsid w:val="31EAE68A"/>
    <w:rsid w:val="32482A78"/>
    <w:rsid w:val="34EE528C"/>
    <w:rsid w:val="35076671"/>
    <w:rsid w:val="354D4499"/>
    <w:rsid w:val="361E6FEA"/>
    <w:rsid w:val="3673F5A2"/>
    <w:rsid w:val="369C63BF"/>
    <w:rsid w:val="36DB6A7E"/>
    <w:rsid w:val="37A100FF"/>
    <w:rsid w:val="37F1825C"/>
    <w:rsid w:val="395FC9F0"/>
    <w:rsid w:val="39609089"/>
    <w:rsid w:val="396F72AC"/>
    <w:rsid w:val="39BC8EA6"/>
    <w:rsid w:val="39D229EA"/>
    <w:rsid w:val="3A589D81"/>
    <w:rsid w:val="3AA0C3C2"/>
    <w:rsid w:val="3BEE4B80"/>
    <w:rsid w:val="3C8BF11E"/>
    <w:rsid w:val="3CAC89D8"/>
    <w:rsid w:val="3CEB8388"/>
    <w:rsid w:val="3D4B5E1F"/>
    <w:rsid w:val="3D7264CD"/>
    <w:rsid w:val="3E1D068C"/>
    <w:rsid w:val="3E215EDC"/>
    <w:rsid w:val="3E2B578B"/>
    <w:rsid w:val="3E42DCC7"/>
    <w:rsid w:val="3EC2C7AD"/>
    <w:rsid w:val="3F39E50E"/>
    <w:rsid w:val="3FB5B6A1"/>
    <w:rsid w:val="40C38870"/>
    <w:rsid w:val="414B40C7"/>
    <w:rsid w:val="41EE32E1"/>
    <w:rsid w:val="4200A5DD"/>
    <w:rsid w:val="426ED472"/>
    <w:rsid w:val="4278DF75"/>
    <w:rsid w:val="428E99D4"/>
    <w:rsid w:val="42B126C1"/>
    <w:rsid w:val="43850324"/>
    <w:rsid w:val="43D20BF3"/>
    <w:rsid w:val="442426B3"/>
    <w:rsid w:val="44A5F0EF"/>
    <w:rsid w:val="461C10C0"/>
    <w:rsid w:val="46AEF520"/>
    <w:rsid w:val="475673C5"/>
    <w:rsid w:val="476BC147"/>
    <w:rsid w:val="477D7DE7"/>
    <w:rsid w:val="4A1B3484"/>
    <w:rsid w:val="4A781ED2"/>
    <w:rsid w:val="4B02F4BF"/>
    <w:rsid w:val="4BB71128"/>
    <w:rsid w:val="4C1E159B"/>
    <w:rsid w:val="4C834659"/>
    <w:rsid w:val="4CC4BEC7"/>
    <w:rsid w:val="4CFEE5C6"/>
    <w:rsid w:val="4D935660"/>
    <w:rsid w:val="4DC43BE1"/>
    <w:rsid w:val="4DE7BB00"/>
    <w:rsid w:val="4E2DF235"/>
    <w:rsid w:val="4E4539B8"/>
    <w:rsid w:val="4E542DA3"/>
    <w:rsid w:val="4E774D04"/>
    <w:rsid w:val="4E81C634"/>
    <w:rsid w:val="4ED1E8A3"/>
    <w:rsid w:val="4F0F17F9"/>
    <w:rsid w:val="4F20FC3F"/>
    <w:rsid w:val="509F83E6"/>
    <w:rsid w:val="50C26574"/>
    <w:rsid w:val="5103916E"/>
    <w:rsid w:val="51172A13"/>
    <w:rsid w:val="51323C98"/>
    <w:rsid w:val="51517A5C"/>
    <w:rsid w:val="52671833"/>
    <w:rsid w:val="52BC9852"/>
    <w:rsid w:val="54EA34A8"/>
    <w:rsid w:val="5548E347"/>
    <w:rsid w:val="555496DD"/>
    <w:rsid w:val="5602C9D4"/>
    <w:rsid w:val="565CEAB3"/>
    <w:rsid w:val="56B7E933"/>
    <w:rsid w:val="56ECCD20"/>
    <w:rsid w:val="575A3985"/>
    <w:rsid w:val="57D73D4F"/>
    <w:rsid w:val="57E1EE7C"/>
    <w:rsid w:val="58744BF1"/>
    <w:rsid w:val="588B4568"/>
    <w:rsid w:val="588B748A"/>
    <w:rsid w:val="58FF7C73"/>
    <w:rsid w:val="5900D6A8"/>
    <w:rsid w:val="593515CC"/>
    <w:rsid w:val="5958EFC8"/>
    <w:rsid w:val="59AC9397"/>
    <w:rsid w:val="59C39660"/>
    <w:rsid w:val="59D5A3CE"/>
    <w:rsid w:val="5AE70D1D"/>
    <w:rsid w:val="5BD520CA"/>
    <w:rsid w:val="5C5B47DE"/>
    <w:rsid w:val="5C77C064"/>
    <w:rsid w:val="5E605C28"/>
    <w:rsid w:val="5F372242"/>
    <w:rsid w:val="5F66C837"/>
    <w:rsid w:val="5F881417"/>
    <w:rsid w:val="5FCFF699"/>
    <w:rsid w:val="6027B1E4"/>
    <w:rsid w:val="604D72AD"/>
    <w:rsid w:val="609A6F1D"/>
    <w:rsid w:val="61456276"/>
    <w:rsid w:val="614D07C2"/>
    <w:rsid w:val="62097AA9"/>
    <w:rsid w:val="62567CF9"/>
    <w:rsid w:val="62D32EDE"/>
    <w:rsid w:val="638CC198"/>
    <w:rsid w:val="64298866"/>
    <w:rsid w:val="64A44A19"/>
    <w:rsid w:val="64B4BDBD"/>
    <w:rsid w:val="65021828"/>
    <w:rsid w:val="658D353B"/>
    <w:rsid w:val="65A241C5"/>
    <w:rsid w:val="669CEEE3"/>
    <w:rsid w:val="670B8538"/>
    <w:rsid w:val="679FF15E"/>
    <w:rsid w:val="6856655D"/>
    <w:rsid w:val="68C5848E"/>
    <w:rsid w:val="69B870A3"/>
    <w:rsid w:val="6A42D36E"/>
    <w:rsid w:val="6A4ECB1B"/>
    <w:rsid w:val="6AC808A6"/>
    <w:rsid w:val="6B152C00"/>
    <w:rsid w:val="6BBCBF3B"/>
    <w:rsid w:val="6C36894C"/>
    <w:rsid w:val="6CA082B9"/>
    <w:rsid w:val="6CAC06D4"/>
    <w:rsid w:val="6D81B9A7"/>
    <w:rsid w:val="6E4B20FE"/>
    <w:rsid w:val="6EEA3F74"/>
    <w:rsid w:val="6F33C7F9"/>
    <w:rsid w:val="6F74B067"/>
    <w:rsid w:val="7011EDDE"/>
    <w:rsid w:val="704B2A65"/>
    <w:rsid w:val="7067FC99"/>
    <w:rsid w:val="71273C42"/>
    <w:rsid w:val="721FD5E7"/>
    <w:rsid w:val="724BCE73"/>
    <w:rsid w:val="72748454"/>
    <w:rsid w:val="72971635"/>
    <w:rsid w:val="7382F10F"/>
    <w:rsid w:val="739B2085"/>
    <w:rsid w:val="741E1BC3"/>
    <w:rsid w:val="75135D8D"/>
    <w:rsid w:val="75823892"/>
    <w:rsid w:val="75E4BA7F"/>
    <w:rsid w:val="766E928C"/>
    <w:rsid w:val="76DB817D"/>
    <w:rsid w:val="76FA5689"/>
    <w:rsid w:val="7817A969"/>
    <w:rsid w:val="78CC128F"/>
    <w:rsid w:val="798C38F4"/>
    <w:rsid w:val="79E3A479"/>
    <w:rsid w:val="7A12F905"/>
    <w:rsid w:val="7A427206"/>
    <w:rsid w:val="7AA13A90"/>
    <w:rsid w:val="7ABA4F25"/>
    <w:rsid w:val="7AC69191"/>
    <w:rsid w:val="7B139181"/>
    <w:rsid w:val="7BABCBDF"/>
    <w:rsid w:val="7BDB1CA9"/>
    <w:rsid w:val="7C725B2E"/>
    <w:rsid w:val="7CA708BE"/>
    <w:rsid w:val="7CB1EBE6"/>
    <w:rsid w:val="7D4ADB0A"/>
    <w:rsid w:val="7DCFFEB0"/>
    <w:rsid w:val="7E2DBFD0"/>
    <w:rsid w:val="7E300E1E"/>
    <w:rsid w:val="7EFB5740"/>
    <w:rsid w:val="7F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E824"/>
  <w15:chartTrackingRefBased/>
  <w15:docId w15:val="{1758369F-60A4-4E13-B7B2-EDC0078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0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3803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803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3803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23803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23803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F23803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Caption">
    <w:name w:val="caption"/>
    <w:basedOn w:val="Normal"/>
    <w:next w:val="Normal"/>
    <w:unhideWhenUsed/>
    <w:qFormat/>
    <w:rsid w:val="00F23803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Title">
    <w:name w:val="Title"/>
    <w:basedOn w:val="Normal"/>
    <w:link w:val="TitleChar"/>
    <w:qFormat/>
    <w:rsid w:val="00F23803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803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23803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3803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23803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3803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F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3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F23803"/>
    <w:pPr>
      <w:ind w:left="720"/>
      <w:contextualSpacing/>
    </w:pPr>
    <w:rPr>
      <w:rFonts w:ascii="Times New Roman" w:eastAsia="PMingLiU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97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.bath.ac.uk/event-planner/logi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th.ac.uk/announcements/use-of-face-coverings-in-university-buildings-and-on-campus/" TargetMode="External"/><Relationship Id="rId17" Type="http://schemas.openxmlformats.org/officeDocument/2006/relationships/hyperlink" Target="https://www.gov.uk/government/publications/coronavirus-covid-19-guidance-on-phased-return-of-sport-and-recre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performing-ar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coronavirus-covid-19-safer-travel-guidance-for-passenger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meeting-people-from-outside-your-household-from-4-ju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82C5F24AA9439A54BB6FC79B22E8" ma:contentTypeVersion="4" ma:contentTypeDescription="Create a new document." ma:contentTypeScope="" ma:versionID="e14ff43137dcd82313285e8cd92ee219">
  <xsd:schema xmlns:xsd="http://www.w3.org/2001/XMLSchema" xmlns:xs="http://www.w3.org/2001/XMLSchema" xmlns:p="http://schemas.microsoft.com/office/2006/metadata/properties" xmlns:ns2="be123596-ca1e-476a-9c22-78ba7e4523fe" targetNamespace="http://schemas.microsoft.com/office/2006/metadata/properties" ma:root="true" ma:fieldsID="bd52df2cb93ba322ce06bd26b367b8b0" ns2:_="">
    <xsd:import namespace="be123596-ca1e-476a-9c22-78ba7e4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596-ca1e-476a-9c22-78ba7e452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C8654-DC33-495F-9E06-9995489D7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67404-3200-460C-BDFF-80BDE04F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95F09-DC4B-4912-A012-172F698C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3596-ca1e-476a-9c22-78ba7e4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Farrington</dc:creator>
  <cp:keywords/>
  <dc:description/>
  <cp:lastModifiedBy>Charlotte Greenlees</cp:lastModifiedBy>
  <cp:revision>13</cp:revision>
  <dcterms:created xsi:type="dcterms:W3CDTF">2021-03-19T13:18:00Z</dcterms:created>
  <dcterms:modified xsi:type="dcterms:W3CDTF">2021-10-04T06:32:00Z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0x0101006CCF82C5F24AA9439A54BB6FC79B22E8</vt:lpwstr>
  </property>
</Properties>
</file>